
<file path=[Content_Types].xml><?xml version="1.0" encoding="utf-8"?>
<Types xmlns="http://schemas.openxmlformats.org/package/2006/content-types">
  <Default Extension="xml" ContentType="application/xml"/>
  <Default Extension="jpeg" ContentType="image/jpeg"/>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kinsoku/>
        <w:wordWrap/>
        <w:overflowPunct/>
        <w:topLinePunct w:val="0"/>
        <w:autoSpaceDE/>
        <w:autoSpaceDN/>
        <w:bidi w:val="0"/>
        <w:adjustRightInd/>
        <w:snapToGrid/>
        <w:spacing w:before="0" w:after="0" w:line="590" w:lineRule="exact"/>
        <w:ind w:right="0" w:rightChars="0"/>
        <w:jc w:val="center"/>
        <w:textAlignment w:val="auto"/>
        <w:rPr>
          <w:rFonts w:hint="eastAsia" w:ascii="仿宋_GB2312" w:hAnsi="仿宋_GB2312" w:eastAsia="仿宋_GB2312" w:cs="仿宋_GB2312"/>
          <w:b w:val="0"/>
          <w:bCs w:val="0"/>
          <w:sz w:val="32"/>
          <w:szCs w:val="32"/>
          <w:lang w:val="en-US" w:eastAsia="zh-CN"/>
        </w:rPr>
      </w:pPr>
      <w:r>
        <w:rPr>
          <w:rFonts w:hint="eastAsia" w:ascii="方正小标宋简体" w:hAnsi="方正小标宋简体" w:eastAsia="方正小标宋简体" w:cs="方正小标宋简体"/>
          <w:b w:val="0"/>
          <w:bCs w:val="0"/>
          <w:sz w:val="44"/>
          <w:szCs w:val="44"/>
          <w:lang w:eastAsia="zh-CN"/>
        </w:rPr>
        <w:t>第九讲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系统综述和Meta分析简介</w:t>
      </w:r>
      <w:r>
        <w:rPr>
          <w:rFonts w:hint="eastAsia"/>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val="0"/>
          <w:sz w:val="32"/>
          <w:szCs w:val="32"/>
          <w:lang w:val="en-US" w:eastAsia="zh-CN"/>
        </w:rPr>
        <w:t>福建省疾病预防控制中心   叶 莺</w:t>
      </w:r>
    </w:p>
    <w:p>
      <w:pPr>
        <w:pageBreakBefore w:val="0"/>
        <w:widowControl w:val="0"/>
        <w:kinsoku/>
        <w:wordWrap/>
        <w:overflowPunct/>
        <w:topLinePunct w:val="0"/>
        <w:autoSpaceDE/>
        <w:autoSpaceDN/>
        <w:bidi w:val="0"/>
        <w:adjustRightInd/>
        <w:snapToGrid/>
        <w:spacing w:line="590" w:lineRule="exact"/>
        <w:ind w:right="0" w:rightChars="0"/>
        <w:textAlignment w:val="auto"/>
        <w:rPr>
          <w:rFonts w:hint="eastAsia"/>
        </w:rPr>
      </w:pPr>
    </w:p>
    <w:p>
      <w:pPr>
        <w:pageBreakBefore w:val="0"/>
        <w:widowControl w:val="0"/>
        <w:kinsoku/>
        <w:wordWrap/>
        <w:overflowPunct/>
        <w:topLinePunct w:val="0"/>
        <w:autoSpaceDE/>
        <w:autoSpaceDN/>
        <w:bidi w:val="0"/>
        <w:adjustRightInd/>
        <w:snapToGrid/>
        <w:spacing w:line="590" w:lineRule="exact"/>
        <w:ind w:right="0" w:rightChars="0" w:firstLine="42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循证医学的出现使医学模式为之发生改变，随着循证医学的兴起，如何系统地评估和总结既往的研究成果，为循证决策提供高质量的证据日益受到重视，系统综述（systematic review, SR）和Meta分析（Meta-analysis, MA）作为严格评价和整合证据的最佳手段，其汇总结果不仅被视为最高级别的证据，也是制定循证指南的基础，过去30年间这种整合证据的方法在医学研究领域得到广泛的应用。随着SR研究类型越来越多，其整合方法在不断发展过程中，人工智能、机器学习等方法引入，RobotReviewer的开发，高效快速制作高质量的SR/MA已经指日可待。</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一、基本概念</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系统综述，又叫系统评价，是指针对某一具体临床问题，通过全面收集所有相关的研究（包括已发表和未发表的研究），采用统一、科学的标准对其逐个进行严格评价和分析，筛选出符合质量标准的文献，通过定性或定量研究，得出综合结论的方法。系统综述可提供大量经过综合的新信息，其一般是以临床重大问题为出发点，通过全面、系统地收集所有有关研究文献资料，经流行病学文献评价标准严格评价，纳入符合质量要求的文献，经统计分析，做出能正确反映相应结论的综述。</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ta分析，又叫荟萃分析，以综合研究结果为目的，用于比较和综合针对同一科学问题研究结果的统计学方法，通过对研究结果间差异的来源进行检验，并对具有足够相似性的研究结果进行统计分析，其结论是否有意义取决于纳入研究的质量，常用于系统综述中的定量合并分析。通常是针对某一问题收集文献，对这些研究的结果进行统计分析，提供一个量化的平均效果和联系强度，从而回答所研究的问题。它是一种定量合成的统计学分析方法，其最大的优点是通过综合个原始文献的研究结果，增大了研究的样本量。</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R与MA并不是包含与被包含的关系，SR并非要对所有的研究进行统计学分析，其可以是定性的（qualitative），即不包含MA，也可以是定量的（quantitative），即包含了MA。而作为一种统计学方法，MA也并不全用于系统综述，要注意二者间的区别与联系。文献综述分为两大类，一类为叙述性综述，一类为SR，前者是传统的文献综合分析方法，二者最大的区别在于其质量不同，即在于其减少偏倚的程度不同，制定检索策略、进行全面检索是SR区别于传统综述的关键之一，同时SR在完成一定时间后，要进行改进和及时更新。</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表1 叙述性综述与系统综述的异同点</w:t>
      </w:r>
    </w:p>
    <w:tbl>
      <w:tblPr>
        <w:tblStyle w:val="9"/>
        <w:tblW w:w="9176" w:type="dxa"/>
        <w:tblInd w:w="0" w:type="dxa"/>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083"/>
        <w:gridCol w:w="3191"/>
        <w:gridCol w:w="3902"/>
      </w:tblGrid>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83" w:type="dxa"/>
            <w:tcBorders>
              <w:top w:val="single" w:color="000000" w:themeColor="text1" w:sz="8" w:space="0"/>
              <w:left w:val="nil"/>
              <w:bottom w:val="single" w:color="000000" w:themeColor="text1" w:sz="8" w:space="0"/>
              <w:right w:val="nil"/>
              <w:insideH w:val="single" w:sz="8" w:space="0"/>
              <w:insideV w:val="nil"/>
            </w:tcBorders>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比较项</w:t>
            </w:r>
          </w:p>
        </w:tc>
        <w:tc>
          <w:tcPr>
            <w:tcW w:w="3191" w:type="dxa"/>
            <w:tcBorders>
              <w:top w:val="single" w:color="000000" w:themeColor="text1" w:sz="8" w:space="0"/>
              <w:bottom w:val="single" w:color="000000" w:themeColor="text1" w:sz="8" w:space="0"/>
              <w:right w:val="nil"/>
              <w:insideH w:val="single" w:sz="8" w:space="0"/>
              <w:insideV w:val="nil"/>
            </w:tcBorders>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叙述性综述</w:t>
            </w:r>
          </w:p>
        </w:tc>
        <w:tc>
          <w:tcPr>
            <w:tcW w:w="3902" w:type="dxa"/>
            <w:tcBorders>
              <w:top w:val="single" w:color="000000" w:themeColor="text1" w:sz="8" w:space="0"/>
              <w:bottom w:val="single" w:color="000000" w:themeColor="text1" w:sz="8" w:space="0"/>
              <w:right w:val="nil"/>
              <w:insideH w:val="single" w:sz="8" w:space="0"/>
              <w:insideV w:val="nil"/>
            </w:tcBorders>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系统综述</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83" w:type="dxa"/>
            <w:tcBorders>
              <w:top w:val="single" w:color="000000" w:themeColor="text1" w:sz="8" w:space="0"/>
              <w:left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待研究的问题</w:t>
            </w:r>
          </w:p>
        </w:tc>
        <w:tc>
          <w:tcPr>
            <w:tcW w:w="3191" w:type="dxa"/>
            <w:tcBorders>
              <w:top w:val="single" w:color="000000" w:themeColor="text1" w:sz="8" w:space="0"/>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范围通常较广泛</w:t>
            </w:r>
          </w:p>
        </w:tc>
        <w:tc>
          <w:tcPr>
            <w:tcW w:w="3902" w:type="dxa"/>
            <w:tcBorders>
              <w:top w:val="single" w:color="000000" w:themeColor="text1" w:sz="8" w:space="0"/>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常集中于某一问题</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83"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文献检索的方法</w:t>
            </w:r>
          </w:p>
        </w:tc>
        <w:tc>
          <w:tcPr>
            <w:tcW w:w="3191"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常未说明</w:t>
            </w:r>
          </w:p>
        </w:tc>
        <w:tc>
          <w:tcPr>
            <w:tcW w:w="390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多种来源，较全面</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83" w:type="dxa"/>
            <w:tcBorders>
              <w:top w:val="nil"/>
              <w:left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原始文献的来源</w:t>
            </w:r>
          </w:p>
        </w:tc>
        <w:tc>
          <w:tcPr>
            <w:tcW w:w="3191"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通常并未查全所有有关文献</w:t>
            </w:r>
          </w:p>
        </w:tc>
        <w:tc>
          <w:tcPr>
            <w:tcW w:w="3902"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包含已发表及未发表的文献，较全面</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83"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对原始文献的选择</w:t>
            </w:r>
          </w:p>
        </w:tc>
        <w:tc>
          <w:tcPr>
            <w:tcW w:w="3191"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通常以作者的主管判断为主，存在选择性偏倚</w:t>
            </w:r>
          </w:p>
        </w:tc>
        <w:tc>
          <w:tcPr>
            <w:tcW w:w="390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有明确的选择标准，常采用多人评审与盲审法，降低偏倚</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83" w:type="dxa"/>
            <w:tcBorders>
              <w:top w:val="nil"/>
              <w:left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对原始文献的评价</w:t>
            </w:r>
          </w:p>
        </w:tc>
        <w:tc>
          <w:tcPr>
            <w:tcW w:w="3191"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评价方法不统一</w:t>
            </w:r>
          </w:p>
        </w:tc>
        <w:tc>
          <w:tcPr>
            <w:tcW w:w="3902"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有严格的评价方法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83"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结果的合成方法</w:t>
            </w:r>
          </w:p>
        </w:tc>
        <w:tc>
          <w:tcPr>
            <w:tcW w:w="3191"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多采用定性合成的方法，使收集的资料条理化</w:t>
            </w:r>
          </w:p>
        </w:tc>
        <w:tc>
          <w:tcPr>
            <w:tcW w:w="390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多采用定量的方法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083" w:type="dxa"/>
            <w:tcBorders>
              <w:top w:val="nil"/>
              <w:left w:val="nil"/>
              <w:bottom w:val="single" w:color="000000" w:themeColor="text1" w:sz="8" w:space="0"/>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结果的更新</w:t>
            </w:r>
          </w:p>
        </w:tc>
        <w:tc>
          <w:tcPr>
            <w:tcW w:w="3191" w:type="dxa"/>
            <w:tcBorders>
              <w:top w:val="nil"/>
              <w:bottom w:val="single" w:color="000000" w:themeColor="text1" w:sz="8" w:space="0"/>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文章发表后，作者一般不对其进行更新</w:t>
            </w:r>
          </w:p>
        </w:tc>
        <w:tc>
          <w:tcPr>
            <w:tcW w:w="3902" w:type="dxa"/>
            <w:tcBorders>
              <w:top w:val="nil"/>
              <w:bottom w:val="single" w:color="000000" w:themeColor="text1" w:sz="8" w:space="0"/>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定期更新</w:t>
            </w:r>
          </w:p>
        </w:tc>
      </w:tr>
    </w:tbl>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二、Meta分析的基本步骤</w:t>
      </w:r>
    </w:p>
    <w:p>
      <w:pPr>
        <w:pageBreakBefore w:val="0"/>
        <w:widowControl w:val="0"/>
        <w:kinsoku/>
        <w:wordWrap/>
        <w:overflowPunct/>
        <w:topLinePunct w:val="0"/>
        <w:autoSpaceDE/>
        <w:autoSpaceDN/>
        <w:bidi w:val="0"/>
        <w:adjustRightInd/>
        <w:snapToGrid/>
        <w:spacing w:line="590" w:lineRule="exact"/>
        <w:ind w:right="0" w:rightChars="0" w:firstLine="42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SR为涵盖了MA的广义定义，二者的制作步骤一致，一份完整的meta分析报告，应至少包括问题的提出，数据的收集和分析、结果报告等几个部分，表2所列为常用的两种MA分析步骤。</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表2  Meta分析的步骤</w:t>
      </w:r>
    </w:p>
    <w:tbl>
      <w:tblPr>
        <w:tblStyle w:val="9"/>
        <w:tblW w:w="8522" w:type="dxa"/>
        <w:tblInd w:w="0" w:type="dxa"/>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2"/>
        <w:gridCol w:w="3402"/>
        <w:gridCol w:w="4208"/>
      </w:tblGrid>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single" w:color="000000" w:themeColor="text1" w:sz="8" w:space="0"/>
              <w:left w:val="nil"/>
              <w:bottom w:val="single" w:color="000000" w:themeColor="text1" w:sz="8" w:space="0"/>
              <w:right w:val="nil"/>
              <w:insideH w:val="single" w:sz="8" w:space="0"/>
              <w:insideV w:val="nil"/>
            </w:tcBorders>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步骤</w:t>
            </w:r>
          </w:p>
        </w:tc>
        <w:tc>
          <w:tcPr>
            <w:tcW w:w="3402" w:type="dxa"/>
            <w:tcBorders>
              <w:top w:val="single" w:color="000000" w:themeColor="text1" w:sz="8" w:space="0"/>
              <w:bottom w:val="single" w:color="000000" w:themeColor="text1" w:sz="8" w:space="0"/>
              <w:right w:val="nil"/>
              <w:insideH w:val="single" w:sz="8" w:space="0"/>
              <w:insideV w:val="nil"/>
            </w:tcBorders>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Matthias Egger等</w:t>
            </w:r>
          </w:p>
        </w:tc>
        <w:tc>
          <w:tcPr>
            <w:tcW w:w="4208" w:type="dxa"/>
            <w:tcBorders>
              <w:top w:val="single" w:color="000000" w:themeColor="text1" w:sz="8" w:space="0"/>
              <w:bottom w:val="single" w:color="000000" w:themeColor="text1" w:sz="8" w:space="0"/>
              <w:right w:val="nil"/>
              <w:insideH w:val="single" w:sz="8" w:space="0"/>
              <w:insideV w:val="nil"/>
            </w:tcBorders>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Cochrane handbook</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single" w:color="000000" w:themeColor="text1" w:sz="8" w:space="0"/>
              <w:left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1</w:t>
            </w:r>
          </w:p>
        </w:tc>
        <w:tc>
          <w:tcPr>
            <w:tcW w:w="3402" w:type="dxa"/>
            <w:tcBorders>
              <w:top w:val="single" w:color="000000" w:themeColor="text1" w:sz="8" w:space="0"/>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提出要评价的问题</w:t>
            </w:r>
          </w:p>
        </w:tc>
        <w:tc>
          <w:tcPr>
            <w:tcW w:w="4208" w:type="dxa"/>
            <w:tcBorders>
              <w:top w:val="single" w:color="000000" w:themeColor="text1" w:sz="8" w:space="0"/>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提出要评价的问题</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2</w:t>
            </w:r>
          </w:p>
        </w:tc>
        <w:tc>
          <w:tcPr>
            <w:tcW w:w="340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确定纳入和排除标准</w:t>
            </w:r>
          </w:p>
        </w:tc>
        <w:tc>
          <w:tcPr>
            <w:tcW w:w="4208"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制定研究的纳入与排除标准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left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3</w:t>
            </w:r>
          </w:p>
        </w:tc>
        <w:tc>
          <w:tcPr>
            <w:tcW w:w="3402"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查找研究-制定检索策略</w:t>
            </w:r>
          </w:p>
        </w:tc>
        <w:tc>
          <w:tcPr>
            <w:tcW w:w="4208"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制定检索策略并检索研究</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4</w:t>
            </w:r>
          </w:p>
        </w:tc>
        <w:tc>
          <w:tcPr>
            <w:tcW w:w="340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选择研究</w:t>
            </w:r>
          </w:p>
        </w:tc>
        <w:tc>
          <w:tcPr>
            <w:tcW w:w="4208"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筛选研究和收集资料</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left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5</w:t>
            </w:r>
          </w:p>
        </w:tc>
        <w:tc>
          <w:tcPr>
            <w:tcW w:w="3402"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评估研究的质量</w:t>
            </w:r>
          </w:p>
        </w:tc>
        <w:tc>
          <w:tcPr>
            <w:tcW w:w="4208"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评估纳入研究的偏倚风险</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6</w:t>
            </w:r>
          </w:p>
        </w:tc>
        <w:tc>
          <w:tcPr>
            <w:tcW w:w="340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提取数据</w:t>
            </w:r>
          </w:p>
        </w:tc>
        <w:tc>
          <w:tcPr>
            <w:tcW w:w="4208"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分析数据并进行Meta分析</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left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7</w:t>
            </w:r>
          </w:p>
        </w:tc>
        <w:tc>
          <w:tcPr>
            <w:tcW w:w="3402"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分析和表达结果</w:t>
            </w:r>
          </w:p>
        </w:tc>
        <w:tc>
          <w:tcPr>
            <w:tcW w:w="4208"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解决报告偏倚</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8</w:t>
            </w:r>
          </w:p>
        </w:tc>
        <w:tc>
          <w:tcPr>
            <w:tcW w:w="3402"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解释结果</w:t>
            </w:r>
          </w:p>
        </w:tc>
        <w:tc>
          <w:tcPr>
            <w:tcW w:w="4208" w:type="dxa"/>
            <w:tcBorders>
              <w:top w:val="nil"/>
              <w:bottom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陈述结果和制作结果摘要表格</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left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9</w:t>
            </w:r>
          </w:p>
        </w:tc>
        <w:tc>
          <w:tcPr>
            <w:tcW w:w="3402"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p>
        </w:tc>
        <w:tc>
          <w:tcPr>
            <w:tcW w:w="4208" w:type="dxa"/>
            <w:tcBorders>
              <w:top w:val="nil"/>
              <w:bottom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解释结果及得出结论</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912" w:type="dxa"/>
            <w:tcBorders>
              <w:top w:val="nil"/>
              <w:bottom w:val="single" w:color="000000" w:themeColor="text1" w:sz="8" w:space="0"/>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10</w:t>
            </w:r>
          </w:p>
        </w:tc>
        <w:tc>
          <w:tcPr>
            <w:tcW w:w="3402" w:type="dxa"/>
            <w:tcBorders>
              <w:top w:val="nil"/>
              <w:bottom w:val="single" w:color="000000" w:themeColor="text1" w:sz="8" w:space="0"/>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p>
        </w:tc>
        <w:tc>
          <w:tcPr>
            <w:tcW w:w="4208" w:type="dxa"/>
            <w:tcBorders>
              <w:top w:val="nil"/>
              <w:bottom w:val="single" w:color="000000" w:themeColor="text1" w:sz="8" w:space="0"/>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完善和更新</w:t>
            </w:r>
          </w:p>
        </w:tc>
      </w:tr>
    </w:tbl>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（一）提出需要评价的问题</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问题的提出应该基于实际临床问题，再根据初步检索的实际情况进一步调整，需要系统复习大量的文献，要避免选题过宽导致临床适用性降低、异质性增大，或是选题太窄，虽提高了临床专注性降低异质性，但可能导致没有足够、甚至没有合适的一次研究纳入。</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（二）制定合格标准</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合格标准包括了纳入标准和排除标准。合格标准建议根据“PICOS”进行制定，其中“P”是指参与者（participant）、患者（patient）或目标疾病（disease），“I”是指干预（intervention）或暴露（exposure），“C”是指对照（control）或比较（comparison），“O”是指结局（outcome）或终点（endpoint），“S”是指研究设计类型（study design）。“PICOS”内的信息涵盖了构建的所分析问题的研究的合格标准，根据实际情况还可增加相关限制，需要注意的是，排除标准应是纳入标准的补充，而非对立面或相反面。</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表3  “PICOS”的简要解读</w:t>
      </w:r>
    </w:p>
    <w:tbl>
      <w:tblPr>
        <w:tblStyle w:val="9"/>
        <w:tblW w:w="8522" w:type="dxa"/>
        <w:tblInd w:w="0" w:type="dxa"/>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56"/>
        <w:gridCol w:w="2309"/>
        <w:gridCol w:w="5857"/>
      </w:tblGrid>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56" w:type="dxa"/>
            <w:tcBorders>
              <w:top w:val="single" w:color="000000" w:themeColor="text1" w:sz="8" w:space="0"/>
              <w:left w:val="nil"/>
              <w:bottom w:val="single" w:color="000000" w:themeColor="text1" w:sz="8" w:space="0"/>
              <w:right w:val="nil"/>
              <w:insideH w:val="single" w:sz="8" w:space="0"/>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p>
        </w:tc>
        <w:tc>
          <w:tcPr>
            <w:tcW w:w="2309" w:type="dxa"/>
            <w:tcBorders>
              <w:top w:val="single" w:color="000000" w:themeColor="text1" w:sz="8" w:space="0"/>
              <w:bottom w:val="single" w:color="000000" w:themeColor="text1" w:sz="8" w:space="0"/>
              <w:right w:val="nil"/>
              <w:insideH w:val="single" w:sz="8" w:space="0"/>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描述</w:t>
            </w:r>
          </w:p>
        </w:tc>
        <w:tc>
          <w:tcPr>
            <w:tcW w:w="5857" w:type="dxa"/>
            <w:tcBorders>
              <w:top w:val="single" w:color="000000" w:themeColor="text1" w:sz="8" w:space="0"/>
              <w:bottom w:val="single" w:color="000000" w:themeColor="text1" w:sz="8" w:space="0"/>
              <w:right w:val="nil"/>
              <w:insideH w:val="single" w:sz="8" w:space="0"/>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bCs/>
                <w:color w:val="000000" w:themeColor="text1" w:themeShade="BF"/>
                <w:sz w:val="32"/>
                <w:szCs w:val="32"/>
              </w:rPr>
            </w:pPr>
            <w:r>
              <w:rPr>
                <w:rFonts w:hint="eastAsia" w:ascii="仿宋_GB2312" w:hAnsi="仿宋_GB2312" w:eastAsia="仿宋_GB2312" w:cs="仿宋_GB2312"/>
                <w:b/>
                <w:bCs/>
                <w:color w:val="000000" w:themeColor="text1" w:themeShade="BF"/>
                <w:sz w:val="32"/>
                <w:szCs w:val="32"/>
              </w:rPr>
              <w:t>解释</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56" w:type="dxa"/>
            <w:tcBorders>
              <w:left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P</w:t>
            </w:r>
          </w:p>
        </w:tc>
        <w:tc>
          <w:tcPr>
            <w:tcW w:w="2309"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研究对象（participants） / 定义的疾病（disease）</w:t>
            </w:r>
          </w:p>
        </w:tc>
        <w:tc>
          <w:tcPr>
            <w:tcW w:w="5857"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提供需要确切定义的一组参与者（通常为患者）的有关人群信息。确定合适的研究对象一般分两步，首先，研究对象要符合该病公认的确诊标准，最过硬的为“金标准”诊断；其次，确定研究对象最重要的特征，如年龄、性别、种族、研究实施场所等。</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5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I</w:t>
            </w:r>
          </w:p>
        </w:tc>
        <w:tc>
          <w:tcPr>
            <w:tcW w:w="2309"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干预（intervention）/暴露（exposures）</w:t>
            </w:r>
          </w:p>
        </w:tc>
        <w:tc>
          <w:tcPr>
            <w:tcW w:w="5857"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需明确报告MA中考虑的干预措施（暴露），干预（暴露）可能包括诊断、预防或治疗处理，具体治疗过程的安排，生活方式的改变，心理或教育的干预或危险因素等。</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56" w:type="dxa"/>
            <w:tcBorders>
              <w:left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C</w:t>
            </w:r>
          </w:p>
        </w:tc>
        <w:tc>
          <w:tcPr>
            <w:tcW w:w="2309"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对照（control）/ 比较（comparison）</w:t>
            </w:r>
          </w:p>
        </w:tc>
        <w:tc>
          <w:tcPr>
            <w:tcW w:w="5857"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清楚的报告比较（对照）组的干预措施，如常规治疗、药物或安慰剂，有助于对MA纳入的原始研究的入选标准的充分理解，且可能为调查者提供一种异质性来源。可能影响MA对研究的纳入-很多MA与“标准治疗”相比较，但未对“标准治疗”进行定义，作者应该对此进行妥善处理。</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5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O</w:t>
            </w:r>
          </w:p>
        </w:tc>
        <w:tc>
          <w:tcPr>
            <w:tcW w:w="2309"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结局（outcome）/ 终点（endpoint）</w:t>
            </w:r>
          </w:p>
        </w:tc>
        <w:tc>
          <w:tcPr>
            <w:tcW w:w="5857"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被评估的干预（暴露）的结果（如死亡率、发病率、症状或生活质量的改善）应该进行明确的定义，因为这对SR/MA结果的真实性和适用性是必不可少的。</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356" w:type="dxa"/>
            <w:tcBorders>
              <w:left w:val="nil"/>
              <w:bottom w:val="single" w:color="000000" w:themeColor="text1" w:sz="8" w:space="0"/>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S</w:t>
            </w:r>
          </w:p>
        </w:tc>
        <w:tc>
          <w:tcPr>
            <w:tcW w:w="2309" w:type="dxa"/>
            <w:tcBorders>
              <w:bottom w:val="single" w:color="000000" w:themeColor="text1" w:sz="8" w:space="0"/>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研究设计（study design）</w:t>
            </w:r>
          </w:p>
        </w:tc>
        <w:tc>
          <w:tcPr>
            <w:tcW w:w="5857" w:type="dxa"/>
            <w:tcBorders>
              <w:bottom w:val="single" w:color="000000" w:themeColor="text1" w:sz="8" w:space="0"/>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最后，应该报告纳入研究的设计类型。一些MA报告仅纳入随机试验，而有些纳入的研究设计类型更为广泛（如纳入随机试验和某些类型的观察性研究）。还有一些MA，如特定评估危害，纳入了从队列研究到病例报告的广泛研究设计类型。对纳入的研究设计类型应进行明确报告。</w:t>
            </w:r>
          </w:p>
        </w:tc>
      </w:tr>
    </w:tbl>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（三）制定检索策略</w:t>
      </w:r>
    </w:p>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ICOS”应该是贯穿于MA制作整个步骤的始终。检索策略的制定就是根据“PICOS”进行制定的。制定检索策略时，可以不一步到位。可先制定一个检测策略，进行预检索，根据反馈的结果再进行修正。各个数据库的检索策略是不一样的，应提供各个数据库的检索策略，正文允许的话放正文中，或以附件形式在投稿时提供。</w:t>
      </w:r>
    </w:p>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（四）文献检索</w:t>
      </w:r>
    </w:p>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检索开始前，应建立PRISMA流程图，说明研究的鉴定、筛选、合格条件、入选标准和分析过程。一般而言，基于不同类型的MA检索的数据库应该不同，但基本上均应检索PubMed（MEDLINE）和Embase（不勾选MEDLINE），此外，还可以考虑检索制作团队所掌握语种的相关数据库，如中文可考虑检索万方、维普和CNKI数据库。文献检索时，建议结合EndNote等文献管理软件，便于开展文献管理，为文章撰写编排文献格式提供便捷。</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textAlignment w:val="auto"/>
        <w:rPr>
          <w:rFonts w:hint="eastAsia" w:ascii="仿宋_GB2312" w:hAnsi="仿宋_GB2312" w:eastAsia="仿宋_GB2312" w:cs="仿宋_GB2312"/>
          <w:sz w:val="32"/>
          <w:szCs w:val="32"/>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rPr>
        <w:br w:type="page"/>
      </w:r>
    </w:p>
    <w:tbl>
      <w:tblPr>
        <w:tblStyle w:val="8"/>
        <w:tblW w:w="15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5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51" o:spid="_x0000_s2051" o:spt="202" type="#_x0000_t202" style="position:absolute;left:0pt;margin-left:330pt;margin-top:0pt;height:52.5pt;width:192.75pt;z-index:251659264;mso-width-relative:page;mso-height-relative:page;" coordsize="21600,21600">
                  <v:path/>
                  <v:fill focussize="0,0"/>
                  <v:stroke joinstyle="miter"/>
                  <v:imagedata o:title=""/>
                  <o:lock v:ext="edit"/>
                  <v:textbox>
                    <w:txbxContent>
                      <w:p>
                        <w:pPr>
                          <w:jc w:val="center"/>
                        </w:pPr>
                        <w:r>
                          <w:t>通过</w:t>
                        </w:r>
                        <w:r>
                          <w:rPr>
                            <w:rFonts w:hint="eastAsia"/>
                          </w:rPr>
                          <w:t>其他来源</w:t>
                        </w:r>
                        <w:r>
                          <w:t>获得的文献数量</w:t>
                        </w:r>
                      </w:p>
                      <w:p>
                        <w:pPr>
                          <w:jc w:val="center"/>
                        </w:pPr>
                        <w:r>
                          <w:rPr>
                            <w:rFonts w:hint="eastAsia"/>
                          </w:rPr>
                          <w:t># of additional records identified through other sources</w:t>
                        </w:r>
                      </w:p>
                    </w:txbxContent>
                  </v:textbox>
                </v:shape>
              </w:pict>
            </w:r>
            <w:r>
              <w:rPr>
                <w:rFonts w:hint="eastAsia" w:ascii="仿宋_GB2312" w:hAnsi="仿宋_GB2312" w:eastAsia="仿宋_GB2312" w:cs="仿宋_GB2312"/>
                <w:sz w:val="32"/>
                <w:szCs w:val="32"/>
              </w:rPr>
              <w:pict>
                <v:shape id="_x0000_s2050" o:spid="_x0000_s2050" o:spt="202" type="#_x0000_t202" style="position:absolute;left:0pt;margin-left:107.25pt;margin-top:0pt;height:52.5pt;width:192.75pt;z-index:251658240;mso-width-relative:page;mso-height-relative:page;" coordsize="21600,21600">
                  <v:path/>
                  <v:fill focussize="0,0"/>
                  <v:stroke joinstyle="miter"/>
                  <v:imagedata o:title=""/>
                  <o:lock v:ext="edit"/>
                  <v:textbox>
                    <w:txbxContent>
                      <w:p>
                        <w:pPr>
                          <w:jc w:val="center"/>
                        </w:pPr>
                        <w:r>
                          <w:t>通过检索数据库获得的文献数量</w:t>
                        </w:r>
                      </w:p>
                      <w:p>
                        <w:pPr>
                          <w:jc w:val="center"/>
                        </w:pPr>
                        <w:r>
                          <w:rPr>
                            <w:rFonts w:hint="eastAsia"/>
                          </w:rPr>
                          <w:t># of records identified through database researching</w:t>
                        </w:r>
                      </w:p>
                    </w:txbxContent>
                  </v:textbox>
                </v:shape>
              </w:pict>
            </w:r>
            <w:r>
              <w:rPr>
                <w:rFonts w:hint="eastAsia" w:ascii="仿宋_GB2312" w:hAnsi="仿宋_GB2312" w:eastAsia="仿宋_GB2312" w:cs="仿宋_GB2312"/>
                <w:sz w:val="32"/>
                <w:szCs w:val="32"/>
              </w:rPr>
              <w:t>检索</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Identification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60" o:spid="_x0000_s2060" o:spt="32" type="#_x0000_t32" style="position:absolute;left:0pt;margin-left:425.25pt;margin-top:5.7pt;height:20.25pt;width:0.75pt;z-index:251668480;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pict>
                <v:shape id="_x0000_s2059" o:spid="_x0000_s2059" o:spt="32" type="#_x0000_t32" style="position:absolute;left:0pt;margin-left:201.75pt;margin-top:5.7pt;height:20.25pt;width:0.75pt;z-index:251667456;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52" o:spid="_x0000_s2052" o:spt="202" type="#_x0000_t202" style="position:absolute;left:0pt;margin-left:165pt;margin-top:2.55pt;height:35.25pt;width:288pt;z-index:251660288;mso-width-relative:page;mso-height-relative:page;" coordsize="21600,21600">
                  <v:path/>
                  <v:fill focussize="0,0"/>
                  <v:stroke joinstyle="miter"/>
                  <v:imagedata o:title=""/>
                  <o:lock v:ext="edit"/>
                  <v:textbox>
                    <w:txbxContent>
                      <w:p>
                        <w:pPr>
                          <w:jc w:val="center"/>
                        </w:pPr>
                        <w:r>
                          <w:t>剔除重复文献后的文献数</w:t>
                        </w:r>
                      </w:p>
                      <w:p>
                        <w:pPr>
                          <w:jc w:val="center"/>
                        </w:pPr>
                        <w:r>
                          <w:rPr>
                            <w:rFonts w:hint="eastAsia"/>
                          </w:rPr>
                          <w:t># of records after duplicates removed</w:t>
                        </w:r>
                      </w:p>
                    </w:txbxContent>
                  </v:textbox>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63" o:spid="_x0000_s2063" o:spt="32" type="#_x0000_t32" style="position:absolute;left:0pt;margin-left:307.5pt;margin-top:17.4pt;height:16.5pt;width:0.75pt;z-index:251671552;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t>初筛</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57" o:spid="_x0000_s2057" o:spt="202" type="#_x0000_t202" style="position:absolute;left:0pt;margin-left:513pt;margin-top:10.5pt;height:36pt;width:207.75pt;z-index:251665408;mso-width-relative:page;mso-height-relative:page;" coordsize="21600,21600">
                  <v:path/>
                  <v:fill focussize="0,0"/>
                  <v:stroke joinstyle="miter"/>
                  <v:imagedata o:title=""/>
                  <o:lock v:ext="edit"/>
                  <v:textbox>
                    <w:txbxContent>
                      <w:p>
                        <w:pPr>
                          <w:jc w:val="center"/>
                        </w:pPr>
                        <w:r>
                          <w:t>排除文献数</w:t>
                        </w:r>
                      </w:p>
                      <w:p>
                        <w:pPr>
                          <w:jc w:val="center"/>
                        </w:pPr>
                        <w:r>
                          <w:rPr>
                            <w:rFonts w:hint="eastAsia"/>
                          </w:rPr>
                          <w:t># of records excluded</w:t>
                        </w:r>
                      </w:p>
                    </w:txbxContent>
                  </v:textbox>
                </v:shape>
              </w:pict>
            </w:r>
            <w:r>
              <w:rPr>
                <w:rFonts w:hint="eastAsia" w:ascii="仿宋_GB2312" w:hAnsi="仿宋_GB2312" w:eastAsia="仿宋_GB2312" w:cs="仿宋_GB2312"/>
                <w:sz w:val="32"/>
                <w:szCs w:val="32"/>
              </w:rPr>
              <w:pict>
                <v:shape id="_x0000_s2053" o:spid="_x0000_s2053" o:spt="202" type="#_x0000_t202" style="position:absolute;left:0pt;margin-left:165pt;margin-top:10.5pt;height:36pt;width:288pt;z-index:251661312;mso-width-relative:page;mso-height-relative:page;" coordsize="21600,21600">
                  <v:path/>
                  <v:fill focussize="0,0"/>
                  <v:stroke joinstyle="miter"/>
                  <v:imagedata o:title=""/>
                  <o:lock v:ext="edit"/>
                  <v:textbox>
                    <w:txbxContent>
                      <w:p>
                        <w:pPr>
                          <w:jc w:val="center"/>
                        </w:pPr>
                        <w:r>
                          <w:rPr>
                            <w:rFonts w:hint="eastAsia"/>
                          </w:rPr>
                          <w:t>初筛</w:t>
                        </w:r>
                        <w:r>
                          <w:t>后的文献数</w:t>
                        </w:r>
                      </w:p>
                      <w:p>
                        <w:pPr>
                          <w:jc w:val="center"/>
                        </w:pPr>
                        <w:r>
                          <w:rPr>
                            <w:rFonts w:hint="eastAsia"/>
                          </w:rPr>
                          <w:t># of records screened</w:t>
                        </w:r>
                      </w:p>
                    </w:txbxContent>
                  </v:textbox>
                </v:shape>
              </w:pict>
            </w:r>
            <w:r>
              <w:rPr>
                <w:rFonts w:hint="eastAsia" w:ascii="仿宋_GB2312" w:hAnsi="仿宋_GB2312" w:eastAsia="仿宋_GB2312" w:cs="仿宋_GB2312"/>
                <w:sz w:val="32"/>
                <w:szCs w:val="32"/>
              </w:rPr>
              <w:t>Screening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66" o:spid="_x0000_s2066" o:spt="32" type="#_x0000_t32" style="position:absolute;left:0pt;margin-left:453pt;margin-top:3.6pt;height:0pt;width:60pt;z-index:251674624;mso-width-relative:page;mso-height-relative:page;" o:connectortype="straight" filled="f" coordsize="21600,21600">
                  <v:path arrowok="t"/>
                  <v:fill on="f" focussize="0,0"/>
                  <v:stroke endarrow="block"/>
                  <v:imagedata o:title=""/>
                  <o:lock v:ext="edit"/>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62" o:spid="_x0000_s2062" o:spt="32" type="#_x0000_t32" style="position:absolute;left:0pt;margin-left:308.25pt;margin-top:-0.3pt;height:16.5pt;width:0.75pt;z-index:251670528;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pict>
                <v:shape id="_x0000_s2058" o:spid="_x0000_s2058" o:spt="202" type="#_x0000_t202" style="position:absolute;left:0pt;margin-left:513pt;margin-top:22.95pt;height:36pt;width:207.75pt;z-index:251666432;mso-width-relative:page;mso-height-relative:page;" coordsize="21600,21600">
                  <v:path/>
                  <v:fill focussize="0,0"/>
                  <v:stroke joinstyle="miter"/>
                  <v:imagedata o:title=""/>
                  <o:lock v:ext="edit"/>
                  <v:textbox>
                    <w:txbxContent>
                      <w:p>
                        <w:pPr>
                          <w:jc w:val="center"/>
                        </w:pPr>
                        <w:r>
                          <w:t>排除文献数及原因</w:t>
                        </w:r>
                      </w:p>
                      <w:p>
                        <w:pPr>
                          <w:jc w:val="center"/>
                        </w:pPr>
                        <w:r>
                          <w:rPr>
                            <w:rFonts w:hint="eastAsia"/>
                          </w:rPr>
                          <w:t># of full-text articles excluded，with reasons</w:t>
                        </w:r>
                      </w:p>
                    </w:txbxContent>
                  </v:textbox>
                </v:shape>
              </w:pict>
            </w:r>
            <w:r>
              <w:rPr>
                <w:rFonts w:hint="eastAsia" w:ascii="仿宋_GB2312" w:hAnsi="仿宋_GB2312" w:eastAsia="仿宋_GB2312" w:cs="仿宋_GB2312"/>
                <w:sz w:val="32"/>
                <w:szCs w:val="32"/>
              </w:rPr>
              <w:pict>
                <v:shape id="_x0000_s2054" o:spid="_x0000_s2054" o:spt="202" type="#_x0000_t202" style="position:absolute;left:0pt;margin-left:165pt;margin-top:17.7pt;height:41.25pt;width:288pt;z-index:251662336;mso-width-relative:page;mso-height-relative:page;" coordsize="21600,21600">
                  <v:path/>
                  <v:fill focussize="0,0"/>
                  <v:stroke joinstyle="miter"/>
                  <v:imagedata o:title=""/>
                  <o:lock v:ext="edit"/>
                  <v:textbox>
                    <w:txbxContent>
                      <w:p>
                        <w:pPr>
                          <w:jc w:val="center"/>
                        </w:pPr>
                        <w:r>
                          <w:t>全文浏览后符合纳入标准的文献数</w:t>
                        </w:r>
                      </w:p>
                      <w:p>
                        <w:pPr>
                          <w:jc w:val="center"/>
                        </w:pPr>
                        <w:r>
                          <w:rPr>
                            <w:rFonts w:hint="eastAsia"/>
                          </w:rPr>
                          <w:t># of full-text articles assessed for eligibility</w:t>
                        </w:r>
                      </w:p>
                    </w:txbxContent>
                  </v:textbox>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67" o:spid="_x0000_s2067" o:spt="32" type="#_x0000_t32" style="position:absolute;left:0pt;margin-left:453pt;margin-top:16.05pt;height:0pt;width:60pt;z-index:251675648;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t>合格评价</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64" o:spid="_x0000_s2064" o:spt="32" type="#_x0000_t32" style="position:absolute;left:0pt;margin-left:306.75pt;margin-top:12.15pt;height:16.5pt;width:0.75pt;z-index:251672576;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t>Eligibility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55" o:spid="_x0000_s2055" o:spt="202" type="#_x0000_t202" style="position:absolute;left:0pt;margin-left:165pt;margin-top:4.5pt;height:41.25pt;width:288pt;z-index:251663360;mso-width-relative:page;mso-height-relative:page;" coordsize="21600,21600">
                  <v:path/>
                  <v:fill focussize="0,0"/>
                  <v:stroke joinstyle="miter"/>
                  <v:imagedata o:title=""/>
                  <o:lock v:ext="edit"/>
                  <v:textbox>
                    <w:txbxContent>
                      <w:p>
                        <w:pPr>
                          <w:jc w:val="center"/>
                        </w:pPr>
                        <w:r>
                          <w:t>进行定性合并的文献数</w:t>
                        </w:r>
                      </w:p>
                      <w:p>
                        <w:pPr>
                          <w:jc w:val="center"/>
                        </w:pPr>
                        <w:r>
                          <w:rPr>
                            <w:rFonts w:hint="eastAsia"/>
                          </w:rPr>
                          <w:t># of studies included in qualitative synthesis</w:t>
                        </w:r>
                      </w:p>
                    </w:txbxContent>
                  </v:textbox>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65" o:spid="_x0000_s2065" o:spt="32" type="#_x0000_t32" style="position:absolute;left:0pt;margin-left:306.75pt;margin-top:22.35pt;height:16.5pt;width:0.75pt;z-index:251673600;mso-width-relative:page;mso-height-relative:page;" o:connectortype="straight" filled="f" coordsize="21600,21600">
                  <v:path arrowok="t"/>
                  <v:fill on="f" focussize="0,0"/>
                  <v:stroke endarrow="block"/>
                  <v:imagedata o:title=""/>
                  <o:lock v:ext="edit"/>
                </v:shape>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1526"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56" o:spid="_x0000_s2056" o:spt="202" type="#_x0000_t202" style="position:absolute;left:0pt;margin-left:165pt;margin-top:18.45pt;height:41.25pt;width:288pt;z-index:251664384;mso-width-relative:page;mso-height-relative:page;" coordsize="21600,21600">
                  <v:path/>
                  <v:fill focussize="0,0"/>
                  <v:stroke joinstyle="miter"/>
                  <v:imagedata o:title=""/>
                  <o:lock v:ext="edit"/>
                  <v:textbox>
                    <w:txbxContent>
                      <w:p>
                        <w:pPr>
                          <w:jc w:val="center"/>
                        </w:pPr>
                        <w:r>
                          <w:t>进行定量合并（</w:t>
                        </w:r>
                        <w:r>
                          <w:rPr>
                            <w:rFonts w:hint="eastAsia"/>
                          </w:rPr>
                          <w:t>Meta分析</w:t>
                        </w:r>
                        <w:r>
                          <w:t>）的文献数</w:t>
                        </w:r>
                      </w:p>
                      <w:p>
                        <w:pPr>
                          <w:jc w:val="center"/>
                        </w:pPr>
                        <w:r>
                          <w:rPr>
                            <w:rFonts w:hint="eastAsia"/>
                          </w:rPr>
                          <w:t># of studies included in quantitative synthesis（Meta analysis）</w:t>
                        </w:r>
                      </w:p>
                    </w:txbxContent>
                  </v:textbox>
                </v:shape>
              </w:pict>
            </w:r>
            <w:r>
              <w:rPr>
                <w:rFonts w:hint="eastAsia" w:ascii="仿宋_GB2312" w:hAnsi="仿宋_GB2312" w:eastAsia="仿宋_GB2312" w:cs="仿宋_GB2312"/>
                <w:sz w:val="32"/>
                <w:szCs w:val="32"/>
              </w:rPr>
              <w:t>确定纳入文献</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Included</w:t>
            </w:r>
          </w:p>
        </w:tc>
      </w:tr>
    </w:tbl>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sectPr>
          <w:pgSz w:w="16838" w:h="11906" w:orient="landscape"/>
          <w:pgMar w:top="1800" w:right="1440" w:bottom="1800" w:left="1440" w:header="851" w:footer="992" w:gutter="0"/>
          <w:cols w:space="425" w:num="1"/>
          <w:docGrid w:type="lines" w:linePitch="312" w:charSpace="0"/>
        </w:sectPr>
      </w:pPr>
      <w:r>
        <w:rPr>
          <w:rFonts w:hint="eastAsia" w:ascii="仿宋_GB2312" w:hAnsi="仿宋_GB2312" w:eastAsia="仿宋_GB2312" w:cs="仿宋_GB2312"/>
          <w:b/>
          <w:sz w:val="32"/>
          <w:szCs w:val="32"/>
        </w:rPr>
        <w:t>图1  系统综述研究（Meta分析）选择流程图</w:t>
      </w:r>
    </w:p>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（五）Meta分析注册</w:t>
      </w:r>
    </w:p>
    <w:p>
      <w:pPr>
        <w:pageBreakBefore w:val="0"/>
        <w:widowControl w:val="0"/>
        <w:kinsoku/>
        <w:wordWrap/>
        <w:overflowPunct/>
        <w:topLinePunct w:val="0"/>
        <w:autoSpaceDE/>
        <w:autoSpaceDN/>
        <w:bidi w:val="0"/>
        <w:adjustRightInd/>
        <w:snapToGrid/>
        <w:spacing w:line="590" w:lineRule="exact"/>
        <w:ind w:right="0" w:rightChars="0" w:firstLine="405"/>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上述步骤完成后，可考虑在注册平台进行注册，研究注册并非必须环节，若未行注册，建议在投稿时咨询阅读稿约，避开要求注册的期刊。</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（六）文献筛选</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执行检索后，根据文献筛选流程图，记录相关检索结果，并将检索的相关研究导入到文献管理软件中中进行保存。</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（七）提取资料</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在筛选出合格的研究后，就可以对相关的资料进行提取。资料的提取可以使用Microsoft Excel、Microsoft Access等软件。提取资料的内容一般应该包括纳入研究的第一作者、发病年限、人口学资料、待评价试验与参照试验、方法学质量相关信息等。</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（八）评价方法学质量</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不同研究使用的方法学质量评价工具不尽相同，应根据纳入研究设计类型选择合适的方法学评价工具。有些研究类型尚无公认的方法学质量评价工具，可以结合已有的相近工具，结合主题进行研究工具的设计。</w:t>
      </w:r>
    </w:p>
    <w:p>
      <w:pPr>
        <w:pageBreakBefore w:val="0"/>
        <w:widowControl w:val="0"/>
        <w:kinsoku/>
        <w:wordWrap/>
        <w:overflowPunct/>
        <w:topLinePunct w:val="0"/>
        <w:autoSpaceDE/>
        <w:autoSpaceDN/>
        <w:bidi w:val="0"/>
        <w:adjustRightInd/>
        <w:snapToGrid/>
        <w:spacing w:line="590" w:lineRule="exact"/>
        <w:ind w:right="0" w:rightChars="0" w:firstLine="42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建议RCT采用Cochrane风险偏倚评估工具（The Cochrane collaboration’s tool for assessing risk of bias）进行评价，非随机干预性试验采用ROBINS-I（Risk of bias in non-randomized studies-of interventions）工具或MINORS（Methodological index for non-randomized studies）工具，队列研究和病例对照研究采用纽卡斯尔-渥太华量表（The Newcastle-Ottawa scale, NOS），病例系列采用加拿大卫生经济研究所-病例系列质量评价工具（Canada institute of Health Economics: Critical appraisal tools for case series studies）或MINORS工具的前8条，诊断准确性试验采用QUADAS-2（Quality assessment of diagnostic accuracy studies-2）工具，横断面研究采用美国卫生保健质量和研究机构（Agency for health case research and quality, AHRQ）推荐的标准，动物实验采用SYRCLE动物实验风险评估工具（SYRCLE’s risk of bias tool for animal studies）.</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（九）统计分析</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首先，应该进行研究的异质性评价。评价方法常见的是使用卡方检验和</w:t>
      </w:r>
      <w:r>
        <w:rPr>
          <w:rFonts w:hint="eastAsia" w:ascii="仿宋_GB2312" w:hAnsi="仿宋_GB2312" w:eastAsia="仿宋_GB2312" w:cs="仿宋_GB2312"/>
          <w:i/>
          <w:sz w:val="32"/>
          <w:szCs w:val="32"/>
        </w:rPr>
        <w:t>I</w:t>
      </w:r>
      <w:r>
        <w:rPr>
          <w:rFonts w:hint="eastAsia" w:ascii="仿宋_GB2312" w:hAnsi="仿宋_GB2312" w:eastAsia="仿宋_GB2312" w:cs="仿宋_GB2312"/>
          <w:i/>
          <w:sz w:val="32"/>
          <w:szCs w:val="32"/>
          <w:vertAlign w:val="superscript"/>
        </w:rPr>
        <w:t>2</w:t>
      </w:r>
      <w:r>
        <w:rPr>
          <w:rFonts w:hint="eastAsia" w:ascii="仿宋_GB2312" w:hAnsi="仿宋_GB2312" w:eastAsia="仿宋_GB2312" w:cs="仿宋_GB2312"/>
          <w:sz w:val="32"/>
          <w:szCs w:val="32"/>
        </w:rPr>
        <w:t>检验，卡方检验的</w:t>
      </w:r>
      <w:r>
        <w:rPr>
          <w:rFonts w:hint="eastAsia" w:ascii="仿宋_GB2312" w:hAnsi="仿宋_GB2312" w:eastAsia="仿宋_GB2312" w:cs="仿宋_GB2312"/>
          <w:i/>
          <w:sz w:val="32"/>
          <w:szCs w:val="32"/>
        </w:rPr>
        <w:t>P</w:t>
      </w:r>
      <w:r>
        <w:rPr>
          <w:rFonts w:hint="eastAsia" w:ascii="仿宋_GB2312" w:hAnsi="仿宋_GB2312" w:eastAsia="仿宋_GB2312" w:cs="仿宋_GB2312"/>
          <w:sz w:val="32"/>
          <w:szCs w:val="32"/>
        </w:rPr>
        <w:t>值取0.1。评估之后需要对异质性来源进行调查，当异质性来源于偶然机会或计算诊断性精确性指标所致误差时，重要的是要考虑单个研究的真实异质性，此外，评估单个研究的方法学质量可作为识别异质性来源的有用工具。</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异质性的情况，判定使用何种效应模型并采用相关的软件对相关的结局指标进行分析。一般来说，若异质性可以接受则采用固定效应模型，反之则采用随机效应模型。再根据纳入研究的特征及临床背景开展相应的亚组分析、累计Meta分析、发表偏倚分析等。</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外，还可以对结局指标采用GRADE系统、牛津循证医学中心（OCEBM）等证据质量和推荐级别分级体系进行证据质量分级的评价，但MA仅评价证据质量水平级别即可，不可评价推荐登记，推荐登记是研发临床实践指南等时使用。</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（十）解释结果</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MA中最后、最重要的是报告的要点。制作者必须把可解答的问题写上，他们的假设或问题也到得到肯定的解答。制作者也必须知道在分析的研究中的限制，因为这个偏差与评价的偏差有关，作者必须根据评价的结果定总结。在这一部分只有事实，而没有怀疑或讨论的余地。</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（十一）更新Meta分析</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MA需要随着新的研究的出现而不断更新。Cochrane协作网建议至少每两年更新一次，也有的Cochrane Review Group建议每年更新一次。当然，还可以根据临床及使用的实际需求进行更新。</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三、Meta分析的效应量、统计模型及图形解读</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Meta分析是一种定量的统计方法，因此，有其相应的效应量及统计模型。</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（一）Meta分析的效应量</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根据Meta分析所基于的原始研究设计类型和数据资料类型，其效应量主要分为适应于计数资料的OR（odds ratio）、RR（relative risk）、HR（hazard ratio）、危险差（risk difference, RD）；适用于计量资料的加权均数差（weighted mean difference, WMD）和标准化均数差（standardized mean difference, SMD）；适用于诊断准确性实验（Diagnostic accuracy of test, DTA）的诊断比值比（diagnostic odds ratio, DOR）、合并敏感度（pooled sensitivity, Sen）、合并特异度（pooled specificity, Spe）、似然比（likelihood ratio, LR）、综合受试者工作特征（summary receiver operating characteristics, SROC）曲线、分层综合受试者工作曲线（hierarchical summary receiver operating characteristics, HSROC）、曲线下面积（area under curve，AUC）</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在这些效应量中，RR和HR适用于前瞻性研究的Meta分析，包括随机对照试验（randomized controlled trial, RCT）、前瞻性队列研究（perspective cohort study）、随访研究（follow-up study），回顾性队列研究（retrospective cohort study）也可以使用RR；RD适用于实验性研究及队列研究的Meta分析；OR适用于任何研究类型的Meta分析。对于计量资料，首选WMD；当纳入研究的结局指标单位不同或均数相差较大的资料时，选择SMD，并注意谨慎解释结果。DOR、LR、Sen、Spe、AUC、SROC和HSROC专用于DTA的Meta分析。RR和OR均是相对测量指标，若OR/RR=1提示没有意义，而RD是两个率的绝对差值，若RD=0提示没有意义。</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（二）Meta分析的统计模型及选择</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Meta分析的统计模型主要分为固定效应模型（fixed effect model, FEM）和随机效应模型（random effect model, REM）。若多个研究具有同质性时，采用固定效应模型，如Mantel-Haenzel法，Peto法和倒方差法（inverse variance）等。若多个研究不具有同质性时，先对异质性原因进行分析和处理，若异质性分析与处理后仍无法解决时，可使用随机效应模型。常用Meta分析方法见表4。</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表4  常用Meta分析方法一览表</w:t>
      </w:r>
    </w:p>
    <w:tbl>
      <w:tblPr>
        <w:tblStyle w:val="9"/>
        <w:tblW w:w="8522" w:type="dxa"/>
        <w:tblInd w:w="0" w:type="dxa"/>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Borders>
              <w:top w:val="single" w:color="000000" w:themeColor="text1" w:sz="8" w:space="0"/>
              <w:left w:val="nil"/>
              <w:bottom w:val="single" w:color="000000" w:themeColor="text1" w:sz="8" w:space="0"/>
              <w:right w:val="nil"/>
              <w:insideH w:val="single" w:sz="8" w:space="0"/>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资料类型</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（type of data）</w:t>
            </w:r>
          </w:p>
        </w:tc>
        <w:tc>
          <w:tcPr>
            <w:tcW w:w="2130" w:type="dxa"/>
            <w:tcBorders>
              <w:top w:val="single" w:color="000000" w:themeColor="text1" w:sz="8" w:space="0"/>
              <w:bottom w:val="single" w:color="000000" w:themeColor="text1" w:sz="8" w:space="0"/>
              <w:right w:val="nil"/>
              <w:insideH w:val="single" w:sz="8" w:space="0"/>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合并统计量</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（summary statistic）</w:t>
            </w:r>
          </w:p>
        </w:tc>
        <w:tc>
          <w:tcPr>
            <w:tcW w:w="2131" w:type="dxa"/>
            <w:tcBorders>
              <w:top w:val="single" w:color="000000" w:themeColor="text1" w:sz="8" w:space="0"/>
              <w:bottom w:val="single" w:color="000000" w:themeColor="text1" w:sz="8" w:space="0"/>
              <w:right w:val="nil"/>
              <w:insideH w:val="single" w:sz="8" w:space="0"/>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模型选择</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（model）</w:t>
            </w:r>
          </w:p>
        </w:tc>
        <w:tc>
          <w:tcPr>
            <w:tcW w:w="2131" w:type="dxa"/>
            <w:tcBorders>
              <w:top w:val="single" w:color="000000" w:themeColor="text1" w:sz="8" w:space="0"/>
              <w:bottom w:val="single" w:color="000000" w:themeColor="text1" w:sz="8" w:space="0"/>
              <w:right w:val="nil"/>
              <w:insideH w:val="single" w:sz="8" w:space="0"/>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计算方法</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（method）</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Borders>
              <w:left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二分类变量</w:t>
            </w:r>
          </w:p>
        </w:tc>
        <w:tc>
          <w:tcPr>
            <w:tcW w:w="2130"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OR</w:t>
            </w: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固定效应模型</w:t>
            </w: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Peto法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（dichotomous）</w:t>
            </w:r>
          </w:p>
        </w:tc>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固定效应模型</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Mantel-Haenzel法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Borders>
              <w:left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p>
        </w:tc>
        <w:tc>
          <w:tcPr>
            <w:tcW w:w="2130"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随机效应模型</w:t>
            </w: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D-L法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p>
        </w:tc>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RR</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固定效应模型</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Mantel-Haenzel法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Borders>
              <w:left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p>
        </w:tc>
        <w:tc>
          <w:tcPr>
            <w:tcW w:w="2130"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随机效应模型</w:t>
            </w: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D-L法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p>
        </w:tc>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RD</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固定效应模型</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Mantel-Haenzel法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Borders>
              <w:left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p>
        </w:tc>
        <w:tc>
          <w:tcPr>
            <w:tcW w:w="2130"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随机效应模型</w:t>
            </w: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D-L法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数值变量</w:t>
            </w:r>
          </w:p>
        </w:tc>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WMD</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固定效应模型</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倒方差法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Borders>
              <w:left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（continuous）</w:t>
            </w:r>
          </w:p>
        </w:tc>
        <w:tc>
          <w:tcPr>
            <w:tcW w:w="2130"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随机效应模型</w:t>
            </w: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D-L法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p>
        </w:tc>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SMD</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固定效应模型</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倒方差法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tcBorders>
              <w:left w:val="nil"/>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p>
        </w:tc>
        <w:tc>
          <w:tcPr>
            <w:tcW w:w="2130"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随机效应模型</w:t>
            </w:r>
          </w:p>
        </w:tc>
        <w:tc>
          <w:tcPr>
            <w:tcW w:w="2131" w:type="dxa"/>
            <w:tcBorders>
              <w:right w:val="nil"/>
              <w:insideV w:val="nil"/>
            </w:tcBorders>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D-L法</w:t>
            </w:r>
          </w:p>
        </w:tc>
      </w:tr>
      <w:tr>
        <w:tblPrEx>
          <w:tblBorders>
            <w:top w:val="single" w:color="000000" w:themeColor="text1" w:sz="8" w:space="0"/>
            <w:left w:val="none" w:color="auto" w:sz="0" w:space="0"/>
            <w:bottom w:val="single" w:color="000000" w:themeColor="text1"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个体资料</w:t>
            </w:r>
          </w:p>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val="0"/>
                <w:bCs/>
                <w:color w:val="000000" w:themeColor="text1" w:themeShade="BF"/>
                <w:sz w:val="32"/>
                <w:szCs w:val="32"/>
              </w:rPr>
            </w:pPr>
            <w:r>
              <w:rPr>
                <w:rFonts w:hint="eastAsia" w:ascii="仿宋_GB2312" w:hAnsi="仿宋_GB2312" w:eastAsia="仿宋_GB2312" w:cs="仿宋_GB2312"/>
                <w:b w:val="0"/>
                <w:bCs/>
                <w:color w:val="000000" w:themeColor="text1" w:themeShade="BF"/>
                <w:sz w:val="32"/>
                <w:szCs w:val="32"/>
              </w:rPr>
              <w:t>（Individual）</w:t>
            </w:r>
          </w:p>
        </w:tc>
        <w:tc>
          <w:tcPr>
            <w:tcW w:w="2130"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OR</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固定效应模型</w:t>
            </w:r>
          </w:p>
        </w:tc>
        <w:tc>
          <w:tcPr>
            <w:tcW w:w="2131" w:type="dxa"/>
            <w:shd w:val="clear" w:color="auto" w:fill="auto"/>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color w:val="000000" w:themeColor="text1" w:themeShade="BF"/>
                <w:sz w:val="32"/>
                <w:szCs w:val="32"/>
              </w:rPr>
            </w:pPr>
            <w:r>
              <w:rPr>
                <w:rFonts w:hint="eastAsia" w:ascii="仿宋_GB2312" w:hAnsi="仿宋_GB2312" w:eastAsia="仿宋_GB2312" w:cs="仿宋_GB2312"/>
                <w:color w:val="000000" w:themeColor="text1" w:themeShade="BF"/>
                <w:sz w:val="32"/>
                <w:szCs w:val="32"/>
              </w:rPr>
              <w:t>Peto法</w:t>
            </w:r>
          </w:p>
        </w:tc>
      </w:tr>
    </w:tbl>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异质性识别常用Q检验、</w:t>
      </w:r>
      <w:r>
        <w:rPr>
          <w:rFonts w:hint="eastAsia" w:ascii="仿宋_GB2312" w:hAnsi="仿宋_GB2312" w:eastAsia="仿宋_GB2312" w:cs="仿宋_GB2312"/>
          <w:i/>
          <w:sz w:val="32"/>
          <w:szCs w:val="32"/>
        </w:rPr>
        <w:t>I</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和图示法判断：（1）异质性检验（tests for heterogeneity）：又称同质性检验（tests for homogeneity），是用假设检验的方法检验多个独立研究的异质性（同质性）是否具有统计学意义。目前多用Q检验（Q test）方法，或称卡方检验（chi square test）。若异质性检验结果</w:t>
      </w:r>
      <w:r>
        <w:rPr>
          <w:rFonts w:hint="eastAsia" w:ascii="仿宋_GB2312" w:hAnsi="仿宋_GB2312" w:eastAsia="仿宋_GB2312" w:cs="仿宋_GB2312"/>
          <w:i/>
          <w:sz w:val="32"/>
          <w:szCs w:val="32"/>
        </w:rPr>
        <w:t>P</w:t>
      </w:r>
      <w:r>
        <w:rPr>
          <w:rFonts w:hint="eastAsia" w:ascii="仿宋_GB2312" w:hAnsi="仿宋_GB2312" w:eastAsia="仿宋_GB2312" w:cs="仿宋_GB2312"/>
          <w:sz w:val="32"/>
          <w:szCs w:val="32"/>
        </w:rPr>
        <w:t>&gt;0.10，认为多个研究的异质性无统计学意义；若</w:t>
      </w:r>
      <w:r>
        <w:rPr>
          <w:rFonts w:hint="eastAsia" w:ascii="仿宋_GB2312" w:hAnsi="仿宋_GB2312" w:eastAsia="仿宋_GB2312" w:cs="仿宋_GB2312"/>
          <w:i/>
          <w:sz w:val="32"/>
          <w:szCs w:val="32"/>
        </w:rPr>
        <w:t>P</w:t>
      </w:r>
      <w:r>
        <w:rPr>
          <w:rFonts w:hint="eastAsia" w:ascii="仿宋_GB2312" w:hAnsi="仿宋_GB2312" w:eastAsia="仿宋_GB2312" w:cs="仿宋_GB2312"/>
          <w:sz w:val="32"/>
          <w:szCs w:val="32"/>
        </w:rPr>
        <w:t>≤0.10时，多个研究的异质性有统计学意义。（2）</w:t>
      </w:r>
      <w:r>
        <w:rPr>
          <w:rFonts w:hint="eastAsia" w:ascii="仿宋_GB2312" w:hAnsi="仿宋_GB2312" w:eastAsia="仿宋_GB2312" w:cs="仿宋_GB2312"/>
          <w:i/>
          <w:sz w:val="32"/>
          <w:szCs w:val="32"/>
        </w:rPr>
        <w:t>I</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：衡量多个研究的异质性的大小和程度，描述各个研究之间非抽样误差所引起的变异（异质性）占总变异的百分比。Cochrane系统评价认为，若</w:t>
      </w:r>
      <w:r>
        <w:rPr>
          <w:rFonts w:hint="eastAsia" w:ascii="仿宋_GB2312" w:hAnsi="仿宋_GB2312" w:eastAsia="仿宋_GB2312" w:cs="仿宋_GB2312"/>
          <w:i/>
          <w:sz w:val="32"/>
          <w:szCs w:val="32"/>
        </w:rPr>
        <w:t>I</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在0~40%则认为异质性可能不重要，若</w:t>
      </w:r>
      <w:r>
        <w:rPr>
          <w:rFonts w:hint="eastAsia" w:ascii="仿宋_GB2312" w:hAnsi="仿宋_GB2312" w:eastAsia="仿宋_GB2312" w:cs="仿宋_GB2312"/>
          <w:i/>
          <w:sz w:val="32"/>
          <w:szCs w:val="32"/>
        </w:rPr>
        <w:t>I</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在30%~60%则表示有中度异质性，若</w:t>
      </w:r>
      <w:r>
        <w:rPr>
          <w:rFonts w:hint="eastAsia" w:ascii="仿宋_GB2312" w:hAnsi="仿宋_GB2312" w:eastAsia="仿宋_GB2312" w:cs="仿宋_GB2312"/>
          <w:i/>
          <w:sz w:val="32"/>
          <w:szCs w:val="32"/>
        </w:rPr>
        <w:t>I</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大于50%则表示有显著异质性。（3）图示法观察：直接做森林图观察各研究结果的效应值和可信区间是否有重叠，若森林图显示各研究结果重叠性好，则纳入研究的异质性较小。若重叠性不好活可信区间差异太大，则放弃合并分析或采用随机效应模型。一般认为，当同时满足</w:t>
      </w:r>
      <w:r>
        <w:rPr>
          <w:rFonts w:hint="eastAsia" w:ascii="仿宋_GB2312" w:hAnsi="仿宋_GB2312" w:eastAsia="仿宋_GB2312" w:cs="仿宋_GB2312"/>
          <w:i/>
          <w:sz w:val="32"/>
          <w:szCs w:val="32"/>
        </w:rPr>
        <w:t>P</w:t>
      </w:r>
      <w:r>
        <w:rPr>
          <w:rFonts w:hint="eastAsia" w:ascii="仿宋_GB2312" w:hAnsi="仿宋_GB2312" w:eastAsia="仿宋_GB2312" w:cs="仿宋_GB2312"/>
          <w:sz w:val="32"/>
          <w:szCs w:val="32"/>
        </w:rPr>
        <w:t>&gt;0.10和</w:t>
      </w:r>
      <w:r>
        <w:rPr>
          <w:rFonts w:hint="eastAsia" w:ascii="仿宋_GB2312" w:hAnsi="仿宋_GB2312" w:eastAsia="仿宋_GB2312" w:cs="仿宋_GB2312"/>
          <w:i/>
          <w:sz w:val="32"/>
          <w:szCs w:val="32"/>
        </w:rPr>
        <w:t>I</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≤40%时（部分学者认为</w:t>
      </w:r>
      <w:r>
        <w:rPr>
          <w:rFonts w:hint="eastAsia" w:ascii="仿宋_GB2312" w:hAnsi="仿宋_GB2312" w:eastAsia="仿宋_GB2312" w:cs="仿宋_GB2312"/>
          <w:i/>
          <w:sz w:val="32"/>
          <w:szCs w:val="32"/>
        </w:rPr>
        <w:t>I</w:t>
      </w:r>
      <w:r>
        <w:rPr>
          <w:rFonts w:hint="eastAsia" w:ascii="仿宋_GB2312" w:hAnsi="仿宋_GB2312" w:eastAsia="仿宋_GB2312" w:cs="仿宋_GB2312"/>
          <w:sz w:val="32"/>
          <w:szCs w:val="32"/>
          <w:vertAlign w:val="superscript"/>
        </w:rPr>
        <w:t>2</w:t>
      </w:r>
      <w:r>
        <w:rPr>
          <w:rFonts w:hint="eastAsia" w:ascii="仿宋_GB2312" w:hAnsi="仿宋_GB2312" w:eastAsia="仿宋_GB2312" w:cs="仿宋_GB2312"/>
          <w:sz w:val="32"/>
          <w:szCs w:val="32"/>
        </w:rPr>
        <w:t>≤50%），采用固定效应模型，反之，则采用随机效应模型。</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此外，贝叶斯模型（Bayesian model）是贝叶斯分析（Bayesian analysis）中的效应模型，主要用CI估计位置参数，或者进行统计检验，以确定结果与无效假设的一致程度。贝叶斯模型下主要使用的效应量是OR。</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（三）Meta分析的图形解读</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1.森林图</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森林图（forest plot）是以统计效应量和统计分析方法（可信区间）为基础，用数值运算结果绘制出的图形。它在平面直角坐标系中，以一条垂直的无效线（横坐标刻度为0或1）为中心，用平行于横轴的多条线段描述了每个被纳入研究的效应量和CI，以及Meta分析合并效应和CI；用一个点（或其他图形）描述了每个研究的结果，点的面积代表该研究在Meta分析中被赋予的权重，同时有一根水平线向点的两端延伸代笔CI（通常是95%CI）。CI描述的是与研究结果相一致的疗效/相关性的可变范围，表示单个研究的结果间是否有统计学差异。较大的点意味着较大的权重（即更窄的可信区间），也决定了最终的计算结果。森林图非常简单和直观地描述Meta分析的统计结果，是Meta分析中最常用的结果表达形式。详见图2及其注释。</w:t>
      </w:r>
    </w:p>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pict>
          <v:shape id="_x0000_s2089" o:spid="_x0000_s2089" o:spt="32" type="#_x0000_t32" style="position:absolute;left:0pt;margin-left:144.75pt;margin-top:253.3pt;height:12.05pt;width:0.05pt;z-index:251697152;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pict>
          <v:shape id="_x0000_s2088" o:spid="_x0000_s2088" o:spt="32" type="#_x0000_t32" style="position:absolute;left:0pt;flip:x;margin-left:213.75pt;margin-top:278.75pt;height:0.05pt;width:15.75pt;z-index:251696128;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pict>
          <v:shape id="_x0000_s2087" o:spid="_x0000_s2087" o:spt="202" type="#_x0000_t202" style="position:absolute;left:0pt;margin-left:222pt;margin-top:265.35pt;height:20.25pt;width:48pt;z-index:251695104;mso-width-relative:page;mso-height-relative:page;" filled="f" stroked="f" coordsize="21600,21600">
            <v:path/>
            <v:fill on="f" focussize="0,0"/>
            <v:stroke on="f" joinstyle="miter"/>
            <v:imagedata o:title=""/>
            <o:lock v:ext="edit"/>
            <v:textbox>
              <w:txbxContent>
                <w:p>
                  <w:pPr>
                    <w:rPr>
                      <w:b/>
                    </w:rPr>
                  </w:pPr>
                  <w:r>
                    <w:rPr>
                      <w:rFonts w:hint="eastAsia"/>
                      <w:b/>
                    </w:rPr>
                    <w:t>总效应</w:t>
                  </w:r>
                </w:p>
              </w:txbxContent>
            </v:textbox>
          </v:shape>
        </w:pict>
      </w:r>
      <w:r>
        <w:rPr>
          <w:rFonts w:hint="eastAsia" w:ascii="仿宋_GB2312" w:hAnsi="仿宋_GB2312" w:eastAsia="仿宋_GB2312" w:cs="仿宋_GB2312"/>
          <w:sz w:val="32"/>
          <w:szCs w:val="32"/>
        </w:rPr>
        <w:pict>
          <v:rect id="_x0000_s2077" o:spid="_x0000_s2077" o:spt="1" style="position:absolute;left:0pt;margin-left:66pt;margin-top:265.35pt;height:18.75pt;width:127.5pt;z-index:251684864;mso-width-relative:page;mso-height-relative:page;" fillcolor="#FFFFFF [3212]" filled="t" coordsize="21600,21600">
            <v:path/>
            <v:fill on="t" opacity="0f" focussize="0,0"/>
            <v:stroke/>
            <v:imagedata o:title=""/>
            <o:lock v:ext="edit"/>
          </v:rect>
        </w:pict>
      </w:r>
      <w:r>
        <w:rPr>
          <w:rFonts w:hint="eastAsia" w:ascii="仿宋_GB2312" w:hAnsi="仿宋_GB2312" w:eastAsia="仿宋_GB2312" w:cs="仿宋_GB2312"/>
          <w:sz w:val="32"/>
          <w:szCs w:val="32"/>
        </w:rPr>
        <w:pict>
          <v:rect id="_x0000_s2086" o:spid="_x0000_s2086" o:spt="1" style="position:absolute;left:0pt;margin-left:198pt;margin-top:265.35pt;height:18.75pt;width:12pt;z-index:251694080;mso-width-relative:page;mso-height-relative:page;" fillcolor="#FFFFFF [3212]" filled="t" coordsize="21600,21600">
            <v:path/>
            <v:fill on="t" opacity="0f" focussize="0,0"/>
            <v:stroke/>
            <v:imagedata o:title=""/>
            <o:lock v:ext="edit"/>
          </v:rect>
        </w:pict>
      </w:r>
      <w:r>
        <w:rPr>
          <w:rFonts w:hint="eastAsia" w:ascii="仿宋_GB2312" w:hAnsi="仿宋_GB2312" w:eastAsia="仿宋_GB2312" w:cs="仿宋_GB2312"/>
          <w:sz w:val="32"/>
          <w:szCs w:val="32"/>
        </w:rPr>
        <w:pict>
          <v:shape id="_x0000_s2085" o:spid="_x0000_s2085" o:spt="202" type="#_x0000_t202" style="position:absolute;left:0pt;margin-left:81pt;margin-top:98.1pt;height:20.25pt;width:74.2pt;z-index:251693056;mso-width-relative:page;mso-height-relative:page;" filled="f" stroked="f" coordsize="21600,21600">
            <v:path/>
            <v:fill on="f" focussize="0,0"/>
            <v:stroke on="f" joinstyle="miter"/>
            <v:imagedata o:title=""/>
            <o:lock v:ext="edit"/>
            <v:textbox>
              <w:txbxContent>
                <w:p>
                  <w:pPr>
                    <w:rPr>
                      <w:b/>
                    </w:rPr>
                  </w:pPr>
                  <w:r>
                    <w:rPr>
                      <w:rFonts w:hint="eastAsia"/>
                      <w:b/>
                    </w:rPr>
                    <w:t>异质性较大</w:t>
                  </w:r>
                </w:p>
              </w:txbxContent>
            </v:textbox>
          </v:shape>
        </w:pict>
      </w:r>
      <w:r>
        <w:rPr>
          <w:rFonts w:hint="eastAsia" w:ascii="仿宋_GB2312" w:hAnsi="仿宋_GB2312" w:eastAsia="仿宋_GB2312" w:cs="仿宋_GB2312"/>
          <w:sz w:val="32"/>
          <w:szCs w:val="32"/>
        </w:rPr>
        <w:pict>
          <v:rect id="_x0000_s2084" o:spid="_x0000_s2084" o:spt="1" style="position:absolute;left:0pt;margin-left:162.75pt;margin-top:98.1pt;height:29.25pt;width:66.75pt;z-index:251692032;mso-width-relative:page;mso-height-relative:page;" fillcolor="#FFFFFF [3212]" filled="t" coordsize="21600,21600">
            <v:path/>
            <v:fill on="t" opacity="0f" focussize="0,0"/>
            <v:stroke/>
            <v:imagedata o:title=""/>
            <o:lock v:ext="edit"/>
          </v:rect>
        </w:pict>
      </w:r>
      <w:r>
        <w:rPr>
          <w:rFonts w:hint="eastAsia" w:ascii="仿宋_GB2312" w:hAnsi="仿宋_GB2312" w:eastAsia="仿宋_GB2312" w:cs="仿宋_GB2312"/>
          <w:sz w:val="32"/>
          <w:szCs w:val="32"/>
        </w:rPr>
        <w:pict>
          <v:shape id="_x0000_s2083" o:spid="_x0000_s2083" o:spt="32" type="#_x0000_t32" style="position:absolute;left:0pt;margin-left:155.2pt;margin-top:86.85pt;height:0pt;width:18.8pt;z-index:251691008;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pict>
          <v:shape id="_x0000_s2082" o:spid="_x0000_s2082" o:spt="202" type="#_x0000_t202" style="position:absolute;left:0pt;margin-left:126pt;margin-top:77.85pt;height:20.25pt;width:36.75pt;z-index:251689984;mso-width-relative:page;mso-height-relative:page;" filled="f" stroked="f" coordsize="21600,21600">
            <v:path/>
            <v:fill on="f" focussize="0,0"/>
            <v:stroke on="f" joinstyle="miter"/>
            <v:imagedata o:title=""/>
            <o:lock v:ext="edit"/>
            <v:textbox>
              <w:txbxContent>
                <w:p>
                  <w:pPr>
                    <w:rPr>
                      <w:b/>
                    </w:rPr>
                  </w:pPr>
                  <w:r>
                    <w:rPr>
                      <w:rFonts w:hint="eastAsia"/>
                      <w:b/>
                    </w:rPr>
                    <w:t>95%CI</w:t>
                  </w:r>
                </w:p>
              </w:txbxContent>
            </v:textbox>
          </v:shape>
        </w:pict>
      </w:r>
      <w:r>
        <w:rPr>
          <w:rFonts w:hint="eastAsia" w:ascii="仿宋_GB2312" w:hAnsi="仿宋_GB2312" w:eastAsia="仿宋_GB2312" w:cs="仿宋_GB2312"/>
          <w:sz w:val="32"/>
          <w:szCs w:val="32"/>
        </w:rPr>
        <w:pict>
          <v:rect id="_x0000_s2081" o:spid="_x0000_s2081" o:spt="1" style="position:absolute;left:0pt;margin-left:180pt;margin-top:86.85pt;height:6.75pt;width:49.5pt;z-index:251688960;mso-width-relative:page;mso-height-relative:page;" fillcolor="#FFFFFF [3212]" filled="t" coordsize="21600,21600">
            <v:path/>
            <v:fill on="t" opacity="0f" focussize="0,0"/>
            <v:stroke/>
            <v:imagedata o:title=""/>
            <o:lock v:ext="edit"/>
          </v:rect>
        </w:pict>
      </w:r>
      <w:r>
        <w:rPr>
          <w:rFonts w:hint="eastAsia" w:ascii="仿宋_GB2312" w:hAnsi="仿宋_GB2312" w:eastAsia="仿宋_GB2312" w:cs="仿宋_GB2312"/>
          <w:sz w:val="32"/>
          <w:szCs w:val="32"/>
        </w:rPr>
        <w:pict>
          <v:shape id="_x0000_s2080" o:spid="_x0000_s2080" o:spt="32" type="#_x0000_t32" style="position:absolute;left:0pt;margin-left:193.5pt;margin-top:55.35pt;height:12.05pt;width:0.05pt;z-index:251687936;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pict>
          <v:shape id="_x0000_s2079" o:spid="_x0000_s2079" o:spt="202" type="#_x0000_t202" style="position:absolute;left:0pt;margin-left:174pt;margin-top:38.85pt;height:20.25pt;width:48pt;z-index:251686912;mso-width-relative:page;mso-height-relative:page;" filled="f" stroked="f" coordsize="21600,21600">
            <v:path/>
            <v:fill on="f" focussize="0,0"/>
            <v:stroke on="f" joinstyle="miter"/>
            <v:imagedata o:title=""/>
            <o:lock v:ext="edit"/>
            <v:textbox>
              <w:txbxContent>
                <w:p>
                  <w:pPr>
                    <w:rPr>
                      <w:b/>
                    </w:rPr>
                  </w:pPr>
                  <w:r>
                    <w:rPr>
                      <w:rFonts w:hint="eastAsia"/>
                      <w:b/>
                    </w:rPr>
                    <w:t>效应量</w:t>
                  </w:r>
                </w:p>
              </w:txbxContent>
            </v:textbox>
          </v:shape>
        </w:pict>
      </w:r>
      <w:r>
        <w:rPr>
          <w:rFonts w:hint="eastAsia" w:ascii="仿宋_GB2312" w:hAnsi="仿宋_GB2312" w:eastAsia="仿宋_GB2312" w:cs="仿宋_GB2312"/>
          <w:sz w:val="32"/>
          <w:szCs w:val="32"/>
        </w:rPr>
        <w:pict>
          <v:rect id="_x0000_s2078" o:spid="_x0000_s2078" o:spt="1" style="position:absolute;left:0pt;margin-left:193.5pt;margin-top:62.85pt;height:18.75pt;width:12pt;z-index:251685888;mso-width-relative:page;mso-height-relative:page;" fillcolor="#FFFFFF [3212]" filled="t" coordsize="21600,21600">
            <v:path/>
            <v:fill on="t" opacity="0f" focussize="0,0"/>
            <v:stroke/>
            <v:imagedata o:title=""/>
            <o:lock v:ext="edit"/>
          </v:rect>
        </w:pict>
      </w:r>
      <w:r>
        <w:rPr>
          <w:rFonts w:hint="eastAsia" w:ascii="仿宋_GB2312" w:hAnsi="仿宋_GB2312" w:eastAsia="仿宋_GB2312" w:cs="仿宋_GB2312"/>
          <w:sz w:val="32"/>
          <w:szCs w:val="32"/>
        </w:rPr>
        <w:pict>
          <v:rect id="_x0000_s2076" o:spid="_x0000_s2076" o:spt="1" style="position:absolute;left:0pt;margin-left:21pt;margin-top:284.1pt;height:18.75pt;width:50.25pt;z-index:251683840;mso-width-relative:page;mso-height-relative:page;" fillcolor="#FFFFFF [3212]" filled="t" coordsize="21600,21600">
            <v:path/>
            <v:fill on="t" opacity="0f" focussize="0,0"/>
            <v:stroke/>
            <v:imagedata o:title=""/>
            <o:lock v:ext="edit"/>
          </v:rect>
        </w:pict>
      </w:r>
      <w:r>
        <w:rPr>
          <w:rFonts w:hint="eastAsia" w:ascii="仿宋_GB2312" w:hAnsi="仿宋_GB2312" w:eastAsia="仿宋_GB2312" w:cs="仿宋_GB2312"/>
          <w:sz w:val="32"/>
          <w:szCs w:val="32"/>
        </w:rPr>
        <w:pict>
          <v:shape id="_x0000_s2075" o:spid="_x0000_s2075" o:spt="202" type="#_x0000_t202" style="position:absolute;left:0pt;margin-left:66pt;margin-top:284.1pt;height:30pt;width:127.5pt;z-index:251682816;mso-width-relative:page;mso-height-relative:page;" filled="f" stroked="f" coordsize="21600,21600">
            <v:path/>
            <v:fill on="f" focussize="0,0"/>
            <v:stroke on="f" joinstyle="miter"/>
            <v:imagedata o:title=""/>
            <o:lock v:ext="edit"/>
            <v:textbox>
              <w:txbxContent>
                <w:p>
                  <w:pPr>
                    <w:rPr>
                      <w:b/>
                    </w:rPr>
                  </w:pPr>
                  <w:r>
                    <w:rPr>
                      <w:rFonts w:hint="eastAsia"/>
                      <w:b/>
                    </w:rPr>
                    <w:t>合并结果的统计学意义</w:t>
                  </w:r>
                </w:p>
              </w:txbxContent>
            </v:textbox>
          </v:shape>
        </w:pict>
      </w:r>
      <w:r>
        <w:rPr>
          <w:rFonts w:hint="eastAsia" w:ascii="仿宋_GB2312" w:hAnsi="仿宋_GB2312" w:eastAsia="仿宋_GB2312" w:cs="仿宋_GB2312"/>
          <w:sz w:val="32"/>
          <w:szCs w:val="32"/>
        </w:rPr>
        <w:pict>
          <v:shape id="_x0000_s2074" o:spid="_x0000_s2074" o:spt="202" type="#_x0000_t202" style="position:absolute;left:0pt;margin-left:95.25pt;margin-top:242.1pt;height:30pt;width:110.25pt;z-index:251681792;mso-width-relative:page;mso-height-relative:page;" filled="f" stroked="f" coordsize="21600,21600">
            <v:path/>
            <v:fill on="f" focussize="0,0"/>
            <v:stroke on="f" joinstyle="miter"/>
            <v:imagedata o:title=""/>
            <o:lock v:ext="edit"/>
            <v:textbox>
              <w:txbxContent>
                <w:p>
                  <w:pPr>
                    <w:rPr>
                      <w:b/>
                    </w:rPr>
                  </w:pPr>
                  <w:r>
                    <w:rPr>
                      <w:rFonts w:hint="eastAsia"/>
                      <w:b/>
                    </w:rPr>
                    <w:t>异质性定量检测结果</w:t>
                  </w:r>
                </w:p>
              </w:txbxContent>
            </v:textbox>
          </v:shape>
        </w:pict>
      </w:r>
      <w:r>
        <w:rPr>
          <w:rFonts w:hint="eastAsia" w:ascii="仿宋_GB2312" w:hAnsi="仿宋_GB2312" w:eastAsia="仿宋_GB2312" w:cs="仿宋_GB2312"/>
          <w:sz w:val="32"/>
          <w:szCs w:val="32"/>
        </w:rPr>
        <w:pict>
          <v:shape id="_x0000_s2073" o:spid="_x0000_s2073" o:spt="32" type="#_x0000_t32" style="position:absolute;left:0pt;flip:x;margin-left:205.5pt;margin-top:293.85pt;height:0pt;width:28.5pt;z-index:251680768;mso-width-relative:page;mso-height-relative:page;" o:connectortype="straight" filled="f" coordsize="21600,21600">
            <v:path arrowok="t"/>
            <v:fill on="f" focussize="0,0"/>
            <v:stroke endarrow="block"/>
            <v:imagedata o:title=""/>
            <o:lock v:ext="edit"/>
          </v:shape>
        </w:pict>
      </w:r>
      <w:r>
        <w:rPr>
          <w:rFonts w:hint="eastAsia" w:ascii="仿宋_GB2312" w:hAnsi="仿宋_GB2312" w:eastAsia="仿宋_GB2312" w:cs="仿宋_GB2312"/>
          <w:sz w:val="32"/>
          <w:szCs w:val="32"/>
        </w:rPr>
        <w:pict>
          <v:shape id="_x0000_s2072" o:spid="_x0000_s2072" o:spt="202" type="#_x0000_t202" style="position:absolute;left:0pt;margin-left:234pt;margin-top:278.85pt;height:30pt;width:60pt;z-index:251679744;mso-width-relative:page;mso-height-relative:page;" filled="f" stroked="f" coordsize="21600,21600">
            <v:path/>
            <v:fill on="f" focussize="0,0"/>
            <v:stroke on="f" joinstyle="miter"/>
            <v:imagedata o:title=""/>
            <o:lock v:ext="edit"/>
            <v:textbox>
              <w:txbxContent>
                <w:p>
                  <w:pPr>
                    <w:rPr>
                      <w:b/>
                    </w:rPr>
                  </w:pPr>
                  <w:r>
                    <w:rPr>
                      <w:rFonts w:hint="eastAsia"/>
                      <w:b/>
                    </w:rPr>
                    <w:t>无效线</w:t>
                  </w:r>
                </w:p>
              </w:txbxContent>
            </v:textbox>
          </v:shape>
        </w:pict>
      </w:r>
      <w:r>
        <w:rPr>
          <w:rFonts w:hint="eastAsia" w:ascii="仿宋_GB2312" w:hAnsi="仿宋_GB2312" w:eastAsia="仿宋_GB2312" w:cs="仿宋_GB2312"/>
          <w:sz w:val="32"/>
          <w:szCs w:val="32"/>
        </w:rPr>
        <w:pict>
          <v:shape id="_x0000_s2071" o:spid="_x0000_s2071" o:spt="202" type="#_x0000_t202" style="position:absolute;left:0pt;margin-left:267pt;margin-top:14.85pt;height:24pt;width:60pt;z-index:251678720;mso-width-relative:page;mso-height-relative:page;" filled="f" stroked="f" coordsize="21600,21600">
            <v:path/>
            <v:fill on="f" focussize="0,0"/>
            <v:stroke on="f" joinstyle="miter"/>
            <v:imagedata o:title=""/>
            <o:lock v:ext="edit"/>
            <v:textbox>
              <w:txbxContent>
                <w:p>
                  <w:pPr>
                    <w:rPr>
                      <w:b/>
                    </w:rPr>
                  </w:pPr>
                  <w:r>
                    <w:rPr>
                      <w:rFonts w:hint="eastAsia"/>
                      <w:b/>
                    </w:rPr>
                    <w:t>效应类型</w:t>
                  </w:r>
                </w:p>
              </w:txbxContent>
            </v:textbox>
          </v:shape>
        </w:pict>
      </w:r>
      <w:r>
        <w:rPr>
          <w:rFonts w:hint="eastAsia" w:ascii="仿宋_GB2312" w:hAnsi="仿宋_GB2312" w:eastAsia="仿宋_GB2312" w:cs="仿宋_GB2312"/>
          <w:sz w:val="32"/>
          <w:szCs w:val="32"/>
        </w:rPr>
        <w:pict>
          <v:shape id="_x0000_s2070" o:spid="_x0000_s2070" o:spt="202" type="#_x0000_t202" style="position:absolute;left:0pt;margin-left:95.25pt;margin-top:49.35pt;height:24pt;width:60pt;z-index:251677696;mso-width-relative:page;mso-height-relative:page;" filled="f" stroked="f" coordsize="21600,21600">
            <v:path/>
            <v:fill on="f" focussize="0,0"/>
            <v:stroke on="f" joinstyle="miter"/>
            <v:imagedata o:title=""/>
            <o:lock v:ext="edit"/>
            <v:textbox>
              <w:txbxContent>
                <w:p>
                  <w:pPr>
                    <w:rPr>
                      <w:b/>
                    </w:rPr>
                  </w:pPr>
                  <w:r>
                    <w:rPr>
                      <w:rFonts w:hint="eastAsia"/>
                      <w:b/>
                    </w:rPr>
                    <w:t>发表年份</w:t>
                  </w:r>
                </w:p>
              </w:txbxContent>
            </v:textbox>
          </v:shape>
        </w:pict>
      </w:r>
      <w:r>
        <w:rPr>
          <w:rFonts w:hint="eastAsia" w:ascii="仿宋_GB2312" w:hAnsi="仿宋_GB2312" w:eastAsia="仿宋_GB2312" w:cs="仿宋_GB2312"/>
          <w:sz w:val="32"/>
          <w:szCs w:val="32"/>
        </w:rPr>
        <w:pict>
          <v:shape id="_x0000_s2069" o:spid="_x0000_s2069" o:spt="202" type="#_x0000_t202" style="position:absolute;left:0pt;margin-left:21pt;margin-top:49.35pt;height:24pt;width:60pt;z-index:251676672;mso-width-relative:page;mso-height-relative:page;" filled="f" stroked="f" coordsize="21600,21600">
            <v:path/>
            <v:fill on="f" focussize="0,0"/>
            <v:stroke on="f" joinstyle="miter"/>
            <v:imagedata o:title=""/>
            <o:lock v:ext="edit"/>
            <v:textbox>
              <w:txbxContent>
                <w:p>
                  <w:pPr>
                    <w:rPr>
                      <w:b/>
                    </w:rPr>
                  </w:pPr>
                  <w:r>
                    <w:rPr>
                      <w:rFonts w:hint="eastAsia"/>
                      <w:b/>
                    </w:rPr>
                    <w:t>作者姓名</w:t>
                  </w:r>
                </w:p>
              </w:txbxContent>
            </v:textbox>
          </v:shape>
        </w:pict>
      </w:r>
      <w:r>
        <w:rPr>
          <w:rFonts w:hint="eastAsia" w:ascii="仿宋_GB2312" w:hAnsi="仿宋_GB2312" w:eastAsia="仿宋_GB2312" w:cs="仿宋_GB2312"/>
          <w:sz w:val="32"/>
          <w:szCs w:val="32"/>
        </w:rPr>
        <w:drawing>
          <wp:inline distT="0" distB="0" distL="0" distR="0">
            <wp:extent cx="5274310" cy="4356100"/>
            <wp:effectExtent l="19050" t="0" r="2540" b="0"/>
            <wp:docPr id="1" name="图片 1" descr="H:\yy\工作\2021\科室事务\系统综述和meta分析简介\森林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yy\工作\2021\科室事务\系统综述和meta分析简介\森林图1.jpg"/>
                    <pic:cNvPicPr>
                      <a:picLocks noChangeAspect="1" noChangeArrowheads="1"/>
                    </pic:cNvPicPr>
                  </pic:nvPicPr>
                  <pic:blipFill>
                    <a:blip r:embed="rId4" cstate="print"/>
                    <a:srcRect/>
                    <a:stretch>
                      <a:fillRect/>
                    </a:stretch>
                  </pic:blipFill>
                  <pic:spPr>
                    <a:xfrm>
                      <a:off x="0" y="0"/>
                      <a:ext cx="5274310" cy="4356165"/>
                    </a:xfrm>
                    <a:prstGeom prst="rect">
                      <a:avLst/>
                    </a:prstGeom>
                    <a:noFill/>
                    <a:ln w="9525">
                      <a:noFill/>
                      <a:miter lim="800000"/>
                      <a:headEnd/>
                      <a:tailEnd/>
                    </a:ln>
                  </pic:spPr>
                </pic:pic>
              </a:graphicData>
            </a:graphic>
          </wp:inline>
        </w:drawing>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图2  森林图的解读</w:t>
      </w:r>
    </w:p>
    <w:p>
      <w:pPr>
        <w:pageBreakBefore w:val="0"/>
        <w:widowControl w:val="0"/>
        <w:kinsoku/>
        <w:wordWrap/>
        <w:overflowPunct/>
        <w:topLinePunct w:val="0"/>
        <w:autoSpaceDE/>
        <w:autoSpaceDN/>
        <w:bidi w:val="0"/>
        <w:adjustRightInd/>
        <w:snapToGrid/>
        <w:spacing w:line="590" w:lineRule="exact"/>
        <w:ind w:right="0" w:rightChars="0" w:firstLine="405"/>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2. 漏斗图</w:t>
      </w:r>
    </w:p>
    <w:p>
      <w:pPr>
        <w:pageBreakBefore w:val="0"/>
        <w:widowControl w:val="0"/>
        <w:kinsoku/>
        <w:wordWrap/>
        <w:overflowPunct/>
        <w:topLinePunct w:val="0"/>
        <w:autoSpaceDE/>
        <w:autoSpaceDN/>
        <w:bidi w:val="0"/>
        <w:adjustRightInd/>
        <w:snapToGrid/>
        <w:spacing w:line="590" w:lineRule="exact"/>
        <w:ind w:right="0" w:rightChars="0" w:firstLine="405"/>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漏斗图（funnel plot）是一种定性测量发表偏倚的常用方法，它是将单个研究的效应量作为横轴，研究规模做竖直轴，做散点图。由于漏斗图所基于的假设是效应量的精度随着样本量的增加而增加，因此样本量小的研究，精度低，分布在漏斗图的底部，且向周围分散；样本量大的研究，精度高，分布在漏斗图的顶部，且向中间集中；如果没有偏倚的存在时，散点形成一个对称的倒置漏斗型，故此得名。如果存在偏倚，例如因为没有统计学意义小样本试验没有被发布，这将导致在漏斗图的底部出现一个角落的缺失而表现为不对称。除发表偏倚外，其他导致漏斗图不对称的原因有：</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低质量小样本试验，包括方法学设计差、分析不充分及造假；</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真实的异质性，即因研究尺度不同导致效应量的差异（例如，因为研究尺度不同而导致干预措施的强度不同或潜在危险因素不同）；</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假象；</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机遇。</w:t>
      </w:r>
    </w:p>
    <w:p>
      <w:pPr>
        <w:pageBreakBefore w:val="0"/>
        <w:widowControl w:val="0"/>
        <w:kinsoku/>
        <w:wordWrap/>
        <w:overflowPunct/>
        <w:topLinePunct w:val="0"/>
        <w:autoSpaceDE/>
        <w:autoSpaceDN/>
        <w:bidi w:val="0"/>
        <w:adjustRightInd/>
        <w:snapToGrid/>
        <w:spacing w:line="590" w:lineRule="exact"/>
        <w:ind w:right="0" w:rightChars="0" w:firstLine="405"/>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应注意的是：</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漏斗图的对称与否通常没有严格的限定，仅通过目测，故在不同观察者之间对漏斗图的视觉判断可能存在差异，故是一种定性的评价方法。</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系统评价员无论在什么时候做Meta分析都应该观察相应的漏斗图。如果漏斗图不对称，应该找出可能的原因。</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当仅纳入几个小样本研究时，偏倚很可能歪曲Meta分析的结果，在这种情况下，漏斗图的检验效能最为局限。</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④</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漏斗图法是至今最为常用的一种方法。</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GB3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⑤</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漏斗图可以使制作者及读者意识到存在的问题，但不能提供解决问题的方法。图3可以看出，漏斗图较为对称，可能存在轻度发表偏倚。</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pict>
          <v:shape id="_x0000_s2094" o:spid="_x0000_s2094" o:spt="202" type="#_x0000_t202" style="position:absolute;left:0pt;margin-left:234pt;margin-top:225.9pt;height:21.75pt;width:122.25pt;z-index:251701248;mso-width-relative:page;mso-height-relative:page;" filled="f" stroked="f" coordsize="21600,21600">
            <v:path/>
            <v:fill on="f" focussize="0,0"/>
            <v:stroke on="f" joinstyle="miter"/>
            <v:imagedata o:title=""/>
            <o:lock v:ext="edit"/>
            <v:textbox>
              <w:txbxContent>
                <w:p>
                  <w:r>
                    <w:rPr>
                      <w:rFonts w:hint="eastAsia"/>
                    </w:rPr>
                    <w:t>合并的效应量</w:t>
                  </w:r>
                </w:p>
              </w:txbxContent>
            </v:textbox>
          </v:shape>
        </w:pict>
      </w:r>
      <w:r>
        <w:rPr>
          <w:rFonts w:hint="eastAsia" w:ascii="仿宋_GB2312" w:hAnsi="仿宋_GB2312" w:eastAsia="仿宋_GB2312" w:cs="仿宋_GB2312"/>
          <w:b/>
          <w:sz w:val="32"/>
          <w:szCs w:val="32"/>
        </w:rPr>
        <w:pict>
          <v:shape id="_x0000_s2093" o:spid="_x0000_s2093" o:spt="202" type="#_x0000_t202" style="position:absolute;left:0pt;margin-left:81pt;margin-top:124.65pt;height:21.75pt;width:122.25pt;z-index:251700224;mso-width-relative:page;mso-height-relative:page;" filled="f" stroked="f" coordsize="21600,21600">
            <v:path/>
            <v:fill on="f" focussize="0,0"/>
            <v:stroke on="f" joinstyle="miter"/>
            <v:imagedata o:title=""/>
            <o:lock v:ext="edit"/>
            <v:textbox>
              <w:txbxContent>
                <w:p>
                  <w:r>
                    <w:rPr>
                      <w:rFonts w:hint="eastAsia"/>
                    </w:rPr>
                    <w:t>95% CI（虚拟）</w:t>
                  </w:r>
                </w:p>
              </w:txbxContent>
            </v:textbox>
          </v:shape>
        </w:pict>
      </w:r>
      <w:r>
        <w:rPr>
          <w:rFonts w:hint="eastAsia" w:ascii="仿宋_GB2312" w:hAnsi="仿宋_GB2312" w:eastAsia="仿宋_GB2312" w:cs="仿宋_GB2312"/>
          <w:b/>
          <w:sz w:val="32"/>
          <w:szCs w:val="32"/>
        </w:rPr>
        <w:pict>
          <v:shape id="_x0000_s2092" o:spid="_x0000_s2092" o:spt="202" type="#_x0000_t202" style="position:absolute;left:0pt;margin-left:107.25pt;margin-top:49.65pt;height:21.75pt;width:82.5pt;z-index:251699200;mso-width-relative:page;mso-height-relative:page;" filled="f" stroked="f" coordsize="21600,21600">
            <v:path/>
            <v:fill on="f" focussize="0,0"/>
            <v:stroke on="f" joinstyle="miter"/>
            <v:imagedata o:title=""/>
            <o:lock v:ext="edit"/>
            <v:textbox>
              <w:txbxContent>
                <w:p>
                  <w:r>
                    <w:rPr>
                      <w:rFonts w:hint="eastAsia"/>
                    </w:rPr>
                    <w:t>纳入的研究</w:t>
                  </w:r>
                </w:p>
              </w:txbxContent>
            </v:textbox>
          </v:shape>
        </w:pict>
      </w:r>
      <w:r>
        <w:rPr>
          <w:rFonts w:hint="eastAsia" w:ascii="仿宋_GB2312" w:hAnsi="仿宋_GB2312" w:eastAsia="仿宋_GB2312" w:cs="仿宋_GB2312"/>
          <w:b/>
          <w:sz w:val="32"/>
          <w:szCs w:val="32"/>
        </w:rPr>
        <w:pict>
          <v:shape id="_x0000_s2091" o:spid="_x0000_s2091" o:spt="120" type="#_x0000_t120" style="position:absolute;left:0pt;margin-left:95.25pt;margin-top:57.15pt;height:10.5pt;width:12pt;z-index:251698176;mso-width-relative:page;mso-height-relative:page;" coordsize="21600,21600">
            <v:path/>
            <v:fill focussize="0,0"/>
            <v:stroke/>
            <v:imagedata o:title=""/>
            <o:lock v:ext="edit"/>
          </v:shape>
        </w:pict>
      </w:r>
      <w:r>
        <w:rPr>
          <w:rFonts w:hint="eastAsia" w:ascii="仿宋_GB2312" w:hAnsi="仿宋_GB2312" w:eastAsia="仿宋_GB2312" w:cs="仿宋_GB2312"/>
          <w:b/>
          <w:sz w:val="32"/>
          <w:szCs w:val="32"/>
        </w:rPr>
        <w:drawing>
          <wp:inline distT="0" distB="0" distL="0" distR="0">
            <wp:extent cx="5274310" cy="4373245"/>
            <wp:effectExtent l="19050" t="0" r="2540" b="0"/>
            <wp:docPr id="6" name="图片 3" descr="E:\yy\工作\2021\科室事务\系统综述和meta分析简介\漏斗图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E:\yy\工作\2021\科室事务\系统综述和meta分析简介\漏斗图6.png"/>
                    <pic:cNvPicPr>
                      <a:picLocks noChangeAspect="1" noChangeArrowheads="1"/>
                    </pic:cNvPicPr>
                  </pic:nvPicPr>
                  <pic:blipFill>
                    <a:blip r:embed="rId5" cstate="print"/>
                    <a:srcRect/>
                    <a:stretch>
                      <a:fillRect/>
                    </a:stretch>
                  </pic:blipFill>
                  <pic:spPr>
                    <a:xfrm>
                      <a:off x="0" y="0"/>
                      <a:ext cx="5274310" cy="4373607"/>
                    </a:xfrm>
                    <a:prstGeom prst="rect">
                      <a:avLst/>
                    </a:prstGeom>
                    <a:noFill/>
                    <a:ln w="9525">
                      <a:noFill/>
                      <a:miter lim="800000"/>
                      <a:headEnd/>
                      <a:tailEnd/>
                    </a:ln>
                  </pic:spPr>
                </pic:pic>
              </a:graphicData>
            </a:graphic>
          </wp:inline>
        </w:drawing>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图3  漏斗图的解读</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3. 网状关系图</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在做网状Meta分析的时候，各种干预措施间往往同时存在直接比较与间接比较，这使得相互间关系显得较为复杂。此时，仅通过数据本身来直观反映相互关系较为困难，网状关系图（network plot）的出现很好地解决了这一问题。通过网状关系图可以清晰地呈现哪些干预措施间存在直接比较，以及哪些干预措施间可以通过何种干预措施进行间接比较。</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图4展示的网状关系图，各顶点分别代表安慰剂和15种药物，顶点大小表示各种干预措施最终纳入的样本量，顶点间的线条表示两者间存在直接比较，其粗细表示纳入研究的数目。</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3933825" cy="2990850"/>
            <wp:effectExtent l="19050" t="0" r="9525" b="0"/>
            <wp:docPr id="2" name="图片 1" descr="H:\yy\工作\2021\科室事务\系统综述和meta分析简介\网状关系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H:\yy\工作\2021\科室事务\系统综述和meta分析简介\网状关系图1.jpg"/>
                    <pic:cNvPicPr>
                      <a:picLocks noChangeAspect="1" noChangeArrowheads="1"/>
                    </pic:cNvPicPr>
                  </pic:nvPicPr>
                  <pic:blipFill>
                    <a:blip r:embed="rId6" cstate="print"/>
                    <a:srcRect/>
                    <a:stretch>
                      <a:fillRect/>
                    </a:stretch>
                  </pic:blipFill>
                  <pic:spPr>
                    <a:xfrm>
                      <a:off x="0" y="0"/>
                      <a:ext cx="3933825" cy="2990850"/>
                    </a:xfrm>
                    <a:prstGeom prst="rect">
                      <a:avLst/>
                    </a:prstGeom>
                    <a:noFill/>
                    <a:ln w="9525">
                      <a:noFill/>
                      <a:miter lim="800000"/>
                      <a:headEnd/>
                      <a:tailEnd/>
                    </a:ln>
                  </pic:spPr>
                </pic:pic>
              </a:graphicData>
            </a:graphic>
          </wp:inline>
        </w:drawing>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图4  网状关系图</w:t>
      </w:r>
    </w:p>
    <w:p>
      <w:pPr>
        <w:pageBreakBefore w:val="0"/>
        <w:widowControl w:val="0"/>
        <w:kinsoku/>
        <w:wordWrap/>
        <w:overflowPunct/>
        <w:topLinePunct w:val="0"/>
        <w:autoSpaceDE/>
        <w:autoSpaceDN/>
        <w:bidi w:val="0"/>
        <w:adjustRightInd/>
        <w:snapToGrid/>
        <w:spacing w:line="590" w:lineRule="exact"/>
        <w:ind w:right="0" w:rightChars="0" w:firstLine="405"/>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4. SROC曲线图</w:t>
      </w:r>
    </w:p>
    <w:p>
      <w:pPr>
        <w:pageBreakBefore w:val="0"/>
        <w:widowControl w:val="0"/>
        <w:kinsoku/>
        <w:wordWrap/>
        <w:overflowPunct/>
        <w:topLinePunct w:val="0"/>
        <w:autoSpaceDE/>
        <w:autoSpaceDN/>
        <w:bidi w:val="0"/>
        <w:adjustRightInd/>
        <w:snapToGrid/>
        <w:spacing w:line="590" w:lineRule="exact"/>
        <w:ind w:right="0" w:rightChars="0" w:firstLine="405"/>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ROC曲线图在存在阈值效应时使用，主要的主用是评价诊断试剂的效能及有无阈值效应。SROC曲线主要是以真阳性及假阳性为基准作图得到的。在该曲线下方的面积为AUC。目前主要采用的AUC及其CI来判断诊断试验的准确性。AUC可以说明阳性和阴性结果重叠的程度，其本质是异常组观察值大于正常组观察值的概率。</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从图5可以看出，AUC=0.8666，SROC曲线对称性较好，无明显阈值效应存在。在实际使用时，SROC曲线图应配合计算的DOR值，回归系数等结果来使用。</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5274310" cy="3580765"/>
            <wp:effectExtent l="19050" t="0" r="2540" b="0"/>
            <wp:docPr id="5" name="图片 2" descr="E:\yy\工作\2021\科室事务\系统综述和meta分析简介\SROC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E:\yy\工作\2021\科室事务\系统综述和meta分析简介\SROC2.gif"/>
                    <pic:cNvPicPr>
                      <a:picLocks noChangeAspect="1" noChangeArrowheads="1"/>
                    </pic:cNvPicPr>
                  </pic:nvPicPr>
                  <pic:blipFill>
                    <a:blip r:embed="rId7" cstate="print"/>
                    <a:srcRect/>
                    <a:stretch>
                      <a:fillRect/>
                    </a:stretch>
                  </pic:blipFill>
                  <pic:spPr>
                    <a:xfrm>
                      <a:off x="0" y="0"/>
                      <a:ext cx="5274310" cy="3581322"/>
                    </a:xfrm>
                    <a:prstGeom prst="rect">
                      <a:avLst/>
                    </a:prstGeom>
                    <a:noFill/>
                    <a:ln w="9525">
                      <a:noFill/>
                      <a:miter lim="800000"/>
                      <a:headEnd/>
                      <a:tailEnd/>
                    </a:ln>
                  </pic:spPr>
                </pic:pic>
              </a:graphicData>
            </a:graphic>
          </wp:inline>
        </w:drawing>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图5 SROC曲线图</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5.剂量-反应图</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剂量-反应关系（dose-response relations）是指对应结局指标随着暴露因素（水平的增加或降低而对应产生变化的趋势，基于剂量-反应关系数据的Meta分析证日益得到广泛的应用。从剂量-反应关系图可以得出结局是否随着暴露水平的改变而对应发生改变。</w:t>
      </w:r>
    </w:p>
    <w:p>
      <w:pPr>
        <w:pageBreakBefore w:val="0"/>
        <w:widowControl w:val="0"/>
        <w:kinsoku/>
        <w:wordWrap/>
        <w:overflowPunct/>
        <w:topLinePunct w:val="0"/>
        <w:autoSpaceDE/>
        <w:autoSpaceDN/>
        <w:bidi w:val="0"/>
        <w:adjustRightInd/>
        <w:snapToGrid/>
        <w:spacing w:line="590" w:lineRule="exact"/>
        <w:ind w:right="0" w:rightChars="0" w:firstLine="42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图6将线性剂量-反应关系Meta分析图和非线性剂量-反应Meta分析图同时绘制在一张图中。其中线性图形仅绘制方程拟合的OR值直线，而非线性图绘制拟合的OR值曲线及其95%CI线。</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drawing>
          <wp:inline distT="0" distB="0" distL="0" distR="0">
            <wp:extent cx="5019675" cy="2286000"/>
            <wp:effectExtent l="19050" t="0" r="9525" b="0"/>
            <wp:docPr id="3" name="图片 1" descr="H:\yy\工作\2021\科室事务\系统综述和meta分析简介\剂量-反应关系图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H:\yy\工作\2021\科室事务\系统综述和meta分析简介\剂量-反应关系图5.jpg"/>
                    <pic:cNvPicPr>
                      <a:picLocks noChangeAspect="1" noChangeArrowheads="1"/>
                    </pic:cNvPicPr>
                  </pic:nvPicPr>
                  <pic:blipFill>
                    <a:blip r:embed="rId8" cstate="print"/>
                    <a:srcRect/>
                    <a:stretch>
                      <a:fillRect/>
                    </a:stretch>
                  </pic:blipFill>
                  <pic:spPr>
                    <a:xfrm>
                      <a:off x="0" y="0"/>
                      <a:ext cx="5019675" cy="2286000"/>
                    </a:xfrm>
                    <a:prstGeom prst="rect">
                      <a:avLst/>
                    </a:prstGeom>
                    <a:noFill/>
                    <a:ln w="9525">
                      <a:noFill/>
                      <a:miter lim="800000"/>
                      <a:headEnd/>
                      <a:tailEnd/>
                    </a:ln>
                  </pic:spPr>
                </pic:pic>
              </a:graphicData>
            </a:graphic>
          </wp:inline>
        </w:drawing>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图6</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b/>
          <w:sz w:val="32"/>
          <w:szCs w:val="32"/>
        </w:rPr>
        <w:t>非线性及线性剂量-反应Meta分析图</w:t>
      </w:r>
    </w:p>
    <w:p>
      <w:pPr>
        <w:pageBreakBefore w:val="0"/>
        <w:widowControl w:val="0"/>
        <w:kinsoku/>
        <w:wordWrap/>
        <w:overflowPunct/>
        <w:topLinePunct w:val="0"/>
        <w:autoSpaceDE/>
        <w:autoSpaceDN/>
        <w:bidi w:val="0"/>
        <w:adjustRightInd/>
        <w:snapToGrid/>
        <w:spacing w:line="590" w:lineRule="exact"/>
        <w:ind w:right="0" w:rightChars="0" w:firstLine="422" w:firstLineChars="200"/>
        <w:jc w:val="left"/>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四、Meta分析的报告规范</w:t>
      </w:r>
    </w:p>
    <w:p>
      <w:pPr>
        <w:pageBreakBefore w:val="0"/>
        <w:widowControl w:val="0"/>
        <w:kinsoku/>
        <w:wordWrap/>
        <w:overflowPunct/>
        <w:topLinePunct w:val="0"/>
        <w:autoSpaceDE/>
        <w:autoSpaceDN/>
        <w:bidi w:val="0"/>
        <w:adjustRightInd/>
        <w:snapToGrid/>
        <w:spacing w:line="590" w:lineRule="exact"/>
        <w:ind w:right="0" w:rightChars="0" w:firstLine="42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为了更好的规范MA的报告格式，提高MA的报告质量，更好地为循证实践提供参考，相应的报告规范被研制出来。最早的报告规范是1999年由SR/MA优先报告条目（preferred reporting items for systematic reviews and Meta-analyses，PRISMA）报告规范及其扩展版几乎适用于所有类型的MA。加拿大渥太华大学David Moher等制定的针对随机对照试验Meta分析的QUOROM（quality of reporting of meta-analysis）报告规范。当前，针对不同MA类型已有较多报告规范。</w:t>
      </w: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表5  常用的Meta分析的报告规范</w:t>
      </w:r>
    </w:p>
    <w:tbl>
      <w:tblPr>
        <w:tblStyle w:val="8"/>
        <w:tblW w:w="8522" w:type="dxa"/>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Borders>
              <w:top w:val="single" w:color="auto" w:sz="4" w:space="0"/>
              <w:bottom w:val="single" w:color="auto" w:sz="4" w:space="0"/>
            </w:tcBorders>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报告规范名称</w:t>
            </w:r>
          </w:p>
        </w:tc>
        <w:tc>
          <w:tcPr>
            <w:tcW w:w="4261" w:type="dxa"/>
            <w:tcBorders>
              <w:top w:val="single" w:color="auto" w:sz="4" w:space="0"/>
              <w:bottom w:val="single" w:color="auto" w:sz="4" w:space="0"/>
            </w:tcBorders>
          </w:tcPr>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Meta分析类型</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Borders>
              <w:top w:val="single" w:color="auto" w:sz="4" w:space="0"/>
            </w:tcBorders>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Cochrane Systematic Review</w:t>
            </w:r>
          </w:p>
        </w:tc>
        <w:tc>
          <w:tcPr>
            <w:tcW w:w="4261" w:type="dxa"/>
            <w:tcBorders>
              <w:top w:val="single" w:color="auto" w:sz="4" w:space="0"/>
            </w:tcBorders>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干预性研究和诊断准确性研究的Meta分析</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PRISMA(preferred reporting items for systematic reviews and meta analyses)及其扩展版</w:t>
            </w:r>
          </w:p>
        </w:tc>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临床干预性研究和观察性研究的Meta分析</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MOOSE（Meta-analysis of Observational Studies in Epidemiology）</w:t>
            </w:r>
          </w:p>
        </w:tc>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观察性研究的Meta分析</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Proposed guidelines for the reporting of systematic reviews and meta-analyses of animal experiments</w:t>
            </w:r>
          </w:p>
        </w:tc>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动物研究的Meta分析</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Center for reviews and dissemination systematic review</w:t>
            </w:r>
          </w:p>
        </w:tc>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所有类型的Meta分析</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Joanna Briggs Institute Systematic review</w:t>
            </w:r>
          </w:p>
        </w:tc>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护理领域的Meta分析</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STARLITE(Standards for Reporting Literature searches)</w:t>
            </w:r>
          </w:p>
        </w:tc>
        <w:tc>
          <w:tcPr>
            <w:tcW w:w="4261" w:type="dxa"/>
          </w:tcPr>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Meta分析的检索策略</w:t>
            </w:r>
          </w:p>
        </w:tc>
      </w:tr>
    </w:tbl>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center"/>
        <w:textAlignment w:val="auto"/>
        <w:rPr>
          <w:rFonts w:hint="eastAsia" w:ascii="仿宋_GB2312" w:hAnsi="仿宋_GB2312" w:eastAsia="仿宋_GB2312" w:cs="仿宋_GB2312"/>
          <w:b/>
          <w:sz w:val="32"/>
          <w:szCs w:val="32"/>
        </w:rPr>
      </w:pPr>
    </w:p>
    <w:p>
      <w:pPr>
        <w:pageBreakBefore w:val="0"/>
        <w:widowControl w:val="0"/>
        <w:kinsoku/>
        <w:wordWrap/>
        <w:overflowPunct/>
        <w:topLinePunct w:val="0"/>
        <w:autoSpaceDE/>
        <w:autoSpaceDN/>
        <w:bidi w:val="0"/>
        <w:adjustRightInd/>
        <w:snapToGrid/>
        <w:spacing w:line="590" w:lineRule="exact"/>
        <w:ind w:right="0" w:rightChars="0"/>
        <w:jc w:val="both"/>
        <w:textAlignment w:val="auto"/>
        <w:rPr>
          <w:rFonts w:hint="eastAsia" w:ascii="仿宋_GB2312" w:hAnsi="仿宋_GB2312" w:eastAsia="仿宋_GB2312" w:cs="仿宋_GB2312"/>
          <w:b/>
          <w:sz w:val="32"/>
          <w:szCs w:val="32"/>
          <w:lang w:eastAsia="zh-CN"/>
        </w:rPr>
      </w:pPr>
      <w:r>
        <w:rPr>
          <w:rFonts w:hint="eastAsia" w:ascii="仿宋_GB2312" w:hAnsi="仿宋_GB2312" w:eastAsia="仿宋_GB2312" w:cs="仿宋_GB2312"/>
          <w:b/>
          <w:sz w:val="32"/>
          <w:szCs w:val="32"/>
          <w:lang w:eastAsia="zh-CN"/>
        </w:rPr>
        <w:t>附测试题</w:t>
      </w:r>
    </w:p>
    <w:p>
      <w:pPr>
        <w:pageBreakBefore w:val="0"/>
        <w:widowControl w:val="0"/>
        <w:kinsoku/>
        <w:wordWrap/>
        <w:overflowPunct/>
        <w:topLinePunct w:val="0"/>
        <w:autoSpaceDE/>
        <w:autoSpaceDN/>
        <w:bidi w:val="0"/>
        <w:adjustRightInd/>
        <w:snapToGrid/>
        <w:spacing w:line="59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单选题:</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Meta分析在合并各个独立研究结果前应进行（ ）</w:t>
      </w:r>
    </w:p>
    <w:p>
      <w:pPr>
        <w:pageBreakBefore w:val="0"/>
        <w:widowControl w:val="0"/>
        <w:kinsoku/>
        <w:wordWrap/>
        <w:overflowPunct/>
        <w:topLinePunct w:val="0"/>
        <w:autoSpaceDE/>
        <w:autoSpaceDN/>
        <w:bidi w:val="0"/>
        <w:adjustRightInd/>
        <w:snapToGrid/>
        <w:spacing w:line="59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A.相关性检验    B.异质性检验    C.回归分析    D.图示研究    E.标准化</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如果各独立研究的结果是同质的可以采用下列哪种方法计算合并后的综合效应（  ）</w:t>
      </w:r>
    </w:p>
    <w:p>
      <w:pPr>
        <w:pageBreakBefore w:val="0"/>
        <w:widowControl w:val="0"/>
        <w:kinsoku/>
        <w:wordWrap/>
        <w:overflowPunct/>
        <w:topLinePunct w:val="0"/>
        <w:autoSpaceDE/>
        <w:autoSpaceDN/>
        <w:bidi w:val="0"/>
        <w:adjustRightInd/>
        <w:snapToGrid/>
        <w:spacing w:line="59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A.随机效应模型    B.固定效应模型    C.混合效应模型    D.A、B、C均可    E. A、B、C均不可</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Meta分析的适用指征包括（  ）</w:t>
      </w:r>
    </w:p>
    <w:p>
      <w:pPr>
        <w:pageBreakBefore w:val="0"/>
        <w:widowControl w:val="0"/>
        <w:kinsoku/>
        <w:wordWrap/>
        <w:overflowPunct/>
        <w:topLinePunct w:val="0"/>
        <w:autoSpaceDE/>
        <w:autoSpaceDN/>
        <w:bidi w:val="0"/>
        <w:adjustRightInd/>
        <w:snapToGrid/>
        <w:spacing w:line="59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A.需要做一项紧急决定，而又缺乏时间进行一项新的试验    B.有关药物和其他治疗，特别是副作用评价方法的研究    C.目前没有能力开展大规模的临床试验    D.研究结果矛盾使    E. 以上均正确</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异质性检验的目的是（  ）</w:t>
      </w:r>
    </w:p>
    <w:p>
      <w:pPr>
        <w:pageBreakBefore w:val="0"/>
        <w:widowControl w:val="0"/>
        <w:kinsoku/>
        <w:wordWrap/>
        <w:overflowPunct/>
        <w:topLinePunct w:val="0"/>
        <w:autoSpaceDE/>
        <w:autoSpaceDN/>
        <w:bidi w:val="0"/>
        <w:adjustRightInd/>
        <w:snapToGrid/>
        <w:spacing w:line="59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A.检验所有独立研究结果的真实性    B. 检验所有独立研究结果的可靠性    C. 检验所有独立研究结果的灵敏度    D. 检验所有独立研究的合并结果    E. 检验所有独立研究结果的代表性</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最常用的灵敏度分析的方法是（）</w:t>
      </w:r>
    </w:p>
    <w:p>
      <w:pPr>
        <w:pageBreakBefore w:val="0"/>
        <w:widowControl w:val="0"/>
        <w:kinsoku/>
        <w:wordWrap/>
        <w:overflowPunct/>
        <w:topLinePunct w:val="0"/>
        <w:autoSpaceDE/>
        <w:autoSpaceDN/>
        <w:bidi w:val="0"/>
        <w:adjustRightInd/>
        <w:snapToGrid/>
        <w:spacing w:line="590" w:lineRule="exact"/>
        <w:ind w:right="0" w:right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A.回归分析    B. 相关分析    C.分层分析    D. 异质性检验    E. 方差分析</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如果漏斗图呈明显的不对称，说明（ ）</w:t>
      </w:r>
    </w:p>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A.Meta分析统计学检验效能不够    B. Meta分析的各个独立研究的同质性差    C.Meta分析的合并效应值没有统计学意义    D. Meta分析可能存在偏倚    E. Meta分析的结果更为可靠</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循证医学实践的核心是（ ）</w:t>
      </w:r>
    </w:p>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A.素质良好的临床医生    B. 最佳的研究证据    C.临床流行病学基本方法和知识    D. 患者的参与和合作    E. 必要的医疗环境和条件</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循证医学所收集的证据中，质量最佳者为（ ）</w:t>
      </w:r>
    </w:p>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A.单个的大样本随机对照试验    B. 队列研究    C.病例对照研究    D. 基于多个质量可靠的大样本随机对照试验所做的系统评价    E. 专家意见</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下列说法错误的是（  ）</w:t>
      </w:r>
    </w:p>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A.Meta分析是一种观察性研究    B.Meta分析一般不对各研究中的每个观察对象的原始数据进行分析   C.报告Meta分析结果时，可不考虑研究的背景和实际意义   D. Meta分析的结论推广是应注意分析对象特征、干预场所、干预措施以及依从性等方面的差异    E. Meta分析可能得出不明确的结论</w:t>
      </w:r>
    </w:p>
    <w:p>
      <w:pPr>
        <w:pStyle w:val="13"/>
        <w:pageBreakBefore w:val="0"/>
        <w:widowControl w:val="0"/>
        <w:numPr>
          <w:ilvl w:val="0"/>
          <w:numId w:val="1"/>
        </w:numPr>
        <w:kinsoku/>
        <w:wordWrap/>
        <w:overflowPunct/>
        <w:topLinePunct w:val="0"/>
        <w:autoSpaceDE/>
        <w:autoSpaceDN/>
        <w:bidi w:val="0"/>
        <w:adjustRightInd/>
        <w:snapToGrid/>
        <w:spacing w:line="590" w:lineRule="exact"/>
        <w:ind w:right="0" w:rightChars="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下列哪个不是Meta分析的目的（）</w:t>
      </w:r>
    </w:p>
    <w:p>
      <w:pPr>
        <w:pageBreakBefore w:val="0"/>
        <w:widowControl w:val="0"/>
        <w:kinsoku/>
        <w:wordWrap/>
        <w:overflowPunct/>
        <w:topLinePunct w:val="0"/>
        <w:autoSpaceDE/>
        <w:autoSpaceDN/>
        <w:bidi w:val="0"/>
        <w:adjustRightInd/>
        <w:snapToGrid/>
        <w:spacing w:line="590" w:lineRule="exact"/>
        <w:ind w:right="0" w:rightChars="0"/>
        <w:jc w:val="left"/>
        <w:textAlignment w:val="auto"/>
        <w:rPr>
          <w:rFonts w:hint="eastAsia" w:ascii="仿宋_GB2312" w:hAnsi="仿宋_GB2312" w:eastAsia="仿宋_GB2312" w:cs="仿宋_GB2312"/>
          <w:b/>
          <w:kern w:val="2"/>
          <w:sz w:val="32"/>
          <w:szCs w:val="32"/>
          <w:lang w:val="en-US" w:eastAsia="zh-CN" w:bidi="ar-SA"/>
        </w:rPr>
      </w:pPr>
      <w:r>
        <w:rPr>
          <w:rFonts w:hint="eastAsia" w:ascii="仿宋_GB2312" w:hAnsi="仿宋_GB2312" w:eastAsia="仿宋_GB2312" w:cs="仿宋_GB2312"/>
          <w:sz w:val="32"/>
          <w:szCs w:val="32"/>
        </w:rPr>
        <w:t>A.增加统计效能   B. 定量估计研究效应的平均水平    C.评价研究结果的不一致性    D. 寻找新的假说和研究思路    E. 估计偏倚大小</w:t>
      </w:r>
      <w:bookmarkStart w:id="0" w:name="_GoBack"/>
      <w:bookmarkEnd w:id="0"/>
      <w:r>
        <w:rPr>
          <w:rFonts w:hint="eastAsia" w:ascii="仿宋_GB2312" w:hAnsi="仿宋_GB2312" w:eastAsia="仿宋_GB2312" w:cs="仿宋_GB2312"/>
          <w:b/>
          <w:kern w:val="2"/>
          <w:sz w:val="32"/>
          <w:szCs w:val="32"/>
          <w:lang w:val="en-US" w:eastAsia="zh-CN" w:bidi="ar-SA"/>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AB2E93"/>
    <w:multiLevelType w:val="multilevel"/>
    <w:tmpl w:val="5DAB2E9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F0454"/>
    <w:rsid w:val="000015C7"/>
    <w:rsid w:val="00002172"/>
    <w:rsid w:val="00002819"/>
    <w:rsid w:val="00003A58"/>
    <w:rsid w:val="000053CC"/>
    <w:rsid w:val="00006BEE"/>
    <w:rsid w:val="0000709B"/>
    <w:rsid w:val="00011D83"/>
    <w:rsid w:val="00013A0A"/>
    <w:rsid w:val="00013BC8"/>
    <w:rsid w:val="000141C0"/>
    <w:rsid w:val="000150ED"/>
    <w:rsid w:val="00016E1A"/>
    <w:rsid w:val="00022CCB"/>
    <w:rsid w:val="00023B58"/>
    <w:rsid w:val="000263C4"/>
    <w:rsid w:val="000271CF"/>
    <w:rsid w:val="00030575"/>
    <w:rsid w:val="0003073C"/>
    <w:rsid w:val="00031B5B"/>
    <w:rsid w:val="00034F0B"/>
    <w:rsid w:val="000352E0"/>
    <w:rsid w:val="000360A6"/>
    <w:rsid w:val="00041C9B"/>
    <w:rsid w:val="00042943"/>
    <w:rsid w:val="00043003"/>
    <w:rsid w:val="000444DA"/>
    <w:rsid w:val="00044F67"/>
    <w:rsid w:val="0004761E"/>
    <w:rsid w:val="000476C1"/>
    <w:rsid w:val="00052DCB"/>
    <w:rsid w:val="00052FB4"/>
    <w:rsid w:val="00055CD4"/>
    <w:rsid w:val="00056E94"/>
    <w:rsid w:val="00060A4F"/>
    <w:rsid w:val="000624ED"/>
    <w:rsid w:val="00064537"/>
    <w:rsid w:val="0006496D"/>
    <w:rsid w:val="00067C09"/>
    <w:rsid w:val="00073394"/>
    <w:rsid w:val="00074E33"/>
    <w:rsid w:val="00076E28"/>
    <w:rsid w:val="00077B05"/>
    <w:rsid w:val="00082EAB"/>
    <w:rsid w:val="0008603C"/>
    <w:rsid w:val="000877DB"/>
    <w:rsid w:val="0009118C"/>
    <w:rsid w:val="0009342F"/>
    <w:rsid w:val="000937D2"/>
    <w:rsid w:val="00094B64"/>
    <w:rsid w:val="00095CA4"/>
    <w:rsid w:val="00096386"/>
    <w:rsid w:val="000A12F3"/>
    <w:rsid w:val="000A14BF"/>
    <w:rsid w:val="000A1B10"/>
    <w:rsid w:val="000A2F6F"/>
    <w:rsid w:val="000A3E2E"/>
    <w:rsid w:val="000A6FA0"/>
    <w:rsid w:val="000B3D5C"/>
    <w:rsid w:val="000B46B0"/>
    <w:rsid w:val="000B528C"/>
    <w:rsid w:val="000B5700"/>
    <w:rsid w:val="000C0A9C"/>
    <w:rsid w:val="000C328A"/>
    <w:rsid w:val="000C5FFF"/>
    <w:rsid w:val="000C73AD"/>
    <w:rsid w:val="000C796C"/>
    <w:rsid w:val="000D1F42"/>
    <w:rsid w:val="000D2E76"/>
    <w:rsid w:val="000D49F3"/>
    <w:rsid w:val="000D4A12"/>
    <w:rsid w:val="000D4DB4"/>
    <w:rsid w:val="000D5D70"/>
    <w:rsid w:val="000D7628"/>
    <w:rsid w:val="000E108E"/>
    <w:rsid w:val="000E151B"/>
    <w:rsid w:val="000E1E5F"/>
    <w:rsid w:val="000E4861"/>
    <w:rsid w:val="000E4F16"/>
    <w:rsid w:val="000E6176"/>
    <w:rsid w:val="000F0BE3"/>
    <w:rsid w:val="000F1A8E"/>
    <w:rsid w:val="000F343F"/>
    <w:rsid w:val="000F5FD6"/>
    <w:rsid w:val="0010413A"/>
    <w:rsid w:val="001043A6"/>
    <w:rsid w:val="00105E2C"/>
    <w:rsid w:val="00111B64"/>
    <w:rsid w:val="0011347B"/>
    <w:rsid w:val="00115959"/>
    <w:rsid w:val="00120DCD"/>
    <w:rsid w:val="001240B1"/>
    <w:rsid w:val="0012520F"/>
    <w:rsid w:val="00127356"/>
    <w:rsid w:val="00131CDC"/>
    <w:rsid w:val="001323F7"/>
    <w:rsid w:val="00134E29"/>
    <w:rsid w:val="0013687F"/>
    <w:rsid w:val="00136E70"/>
    <w:rsid w:val="00140101"/>
    <w:rsid w:val="001425A7"/>
    <w:rsid w:val="00142826"/>
    <w:rsid w:val="00142B25"/>
    <w:rsid w:val="0014516D"/>
    <w:rsid w:val="001456CA"/>
    <w:rsid w:val="001467FC"/>
    <w:rsid w:val="00146D4E"/>
    <w:rsid w:val="00147079"/>
    <w:rsid w:val="00147F47"/>
    <w:rsid w:val="00150B7F"/>
    <w:rsid w:val="001510CC"/>
    <w:rsid w:val="001519D9"/>
    <w:rsid w:val="00152692"/>
    <w:rsid w:val="00152715"/>
    <w:rsid w:val="00154427"/>
    <w:rsid w:val="00154621"/>
    <w:rsid w:val="001550D9"/>
    <w:rsid w:val="001610A7"/>
    <w:rsid w:val="00161239"/>
    <w:rsid w:val="00161C09"/>
    <w:rsid w:val="001646CD"/>
    <w:rsid w:val="00164E65"/>
    <w:rsid w:val="00166132"/>
    <w:rsid w:val="0016696D"/>
    <w:rsid w:val="00170369"/>
    <w:rsid w:val="00171908"/>
    <w:rsid w:val="00173DAA"/>
    <w:rsid w:val="00175275"/>
    <w:rsid w:val="0017580E"/>
    <w:rsid w:val="0018072F"/>
    <w:rsid w:val="00180ADD"/>
    <w:rsid w:val="0018104F"/>
    <w:rsid w:val="00181CDB"/>
    <w:rsid w:val="00184ABF"/>
    <w:rsid w:val="001856BA"/>
    <w:rsid w:val="00193D26"/>
    <w:rsid w:val="0019565C"/>
    <w:rsid w:val="00196F03"/>
    <w:rsid w:val="001A00BB"/>
    <w:rsid w:val="001A0188"/>
    <w:rsid w:val="001A0D3B"/>
    <w:rsid w:val="001A10A7"/>
    <w:rsid w:val="001A318B"/>
    <w:rsid w:val="001A4807"/>
    <w:rsid w:val="001B2311"/>
    <w:rsid w:val="001B2F0C"/>
    <w:rsid w:val="001B3C28"/>
    <w:rsid w:val="001B4EDE"/>
    <w:rsid w:val="001B5950"/>
    <w:rsid w:val="001B5D61"/>
    <w:rsid w:val="001B6CC1"/>
    <w:rsid w:val="001B767E"/>
    <w:rsid w:val="001C6192"/>
    <w:rsid w:val="001C63C7"/>
    <w:rsid w:val="001D0E4F"/>
    <w:rsid w:val="001D106D"/>
    <w:rsid w:val="001D3A5E"/>
    <w:rsid w:val="001D40E5"/>
    <w:rsid w:val="001D5D70"/>
    <w:rsid w:val="001D6D3D"/>
    <w:rsid w:val="001D781C"/>
    <w:rsid w:val="001E0539"/>
    <w:rsid w:val="001E2EF6"/>
    <w:rsid w:val="001E4201"/>
    <w:rsid w:val="001E5019"/>
    <w:rsid w:val="001E53AE"/>
    <w:rsid w:val="001E5A1B"/>
    <w:rsid w:val="001F1B80"/>
    <w:rsid w:val="001F2605"/>
    <w:rsid w:val="001F434F"/>
    <w:rsid w:val="001F4418"/>
    <w:rsid w:val="001F5260"/>
    <w:rsid w:val="001F68F8"/>
    <w:rsid w:val="001F6A2A"/>
    <w:rsid w:val="002011BF"/>
    <w:rsid w:val="00201DB4"/>
    <w:rsid w:val="00201F73"/>
    <w:rsid w:val="00202177"/>
    <w:rsid w:val="002021F3"/>
    <w:rsid w:val="002048AE"/>
    <w:rsid w:val="002058AE"/>
    <w:rsid w:val="0021313D"/>
    <w:rsid w:val="00213D0E"/>
    <w:rsid w:val="002144BD"/>
    <w:rsid w:val="00214B27"/>
    <w:rsid w:val="00215ACC"/>
    <w:rsid w:val="002163E5"/>
    <w:rsid w:val="002174EC"/>
    <w:rsid w:val="00221A52"/>
    <w:rsid w:val="00222C4F"/>
    <w:rsid w:val="00223270"/>
    <w:rsid w:val="00225F75"/>
    <w:rsid w:val="00226EDA"/>
    <w:rsid w:val="00230A4D"/>
    <w:rsid w:val="0023286D"/>
    <w:rsid w:val="00233F15"/>
    <w:rsid w:val="002348B6"/>
    <w:rsid w:val="00241139"/>
    <w:rsid w:val="002422F7"/>
    <w:rsid w:val="00242A3A"/>
    <w:rsid w:val="00245576"/>
    <w:rsid w:val="00250368"/>
    <w:rsid w:val="00255187"/>
    <w:rsid w:val="00256489"/>
    <w:rsid w:val="00256BAC"/>
    <w:rsid w:val="00261CC8"/>
    <w:rsid w:val="00262B70"/>
    <w:rsid w:val="0026683F"/>
    <w:rsid w:val="00267DF2"/>
    <w:rsid w:val="0027099E"/>
    <w:rsid w:val="00273416"/>
    <w:rsid w:val="002735C8"/>
    <w:rsid w:val="002749E5"/>
    <w:rsid w:val="002768D3"/>
    <w:rsid w:val="002807E9"/>
    <w:rsid w:val="00281951"/>
    <w:rsid w:val="00282F5A"/>
    <w:rsid w:val="002837B1"/>
    <w:rsid w:val="0028488C"/>
    <w:rsid w:val="0029089E"/>
    <w:rsid w:val="002908C3"/>
    <w:rsid w:val="00295140"/>
    <w:rsid w:val="00296AB6"/>
    <w:rsid w:val="00297595"/>
    <w:rsid w:val="002976DB"/>
    <w:rsid w:val="002A006F"/>
    <w:rsid w:val="002A2889"/>
    <w:rsid w:val="002A53D7"/>
    <w:rsid w:val="002B05D8"/>
    <w:rsid w:val="002B0F0B"/>
    <w:rsid w:val="002B2A3B"/>
    <w:rsid w:val="002B35F2"/>
    <w:rsid w:val="002B4D39"/>
    <w:rsid w:val="002B644D"/>
    <w:rsid w:val="002B6B37"/>
    <w:rsid w:val="002C3F1D"/>
    <w:rsid w:val="002C3FDE"/>
    <w:rsid w:val="002C5F84"/>
    <w:rsid w:val="002D03B9"/>
    <w:rsid w:val="002D088D"/>
    <w:rsid w:val="002D214B"/>
    <w:rsid w:val="002D2E71"/>
    <w:rsid w:val="002D4DC5"/>
    <w:rsid w:val="002D5285"/>
    <w:rsid w:val="002D6BAD"/>
    <w:rsid w:val="002D7649"/>
    <w:rsid w:val="002E0F08"/>
    <w:rsid w:val="002E1DE2"/>
    <w:rsid w:val="002E1F8E"/>
    <w:rsid w:val="002E25DE"/>
    <w:rsid w:val="002E2EA2"/>
    <w:rsid w:val="002E423A"/>
    <w:rsid w:val="002E645B"/>
    <w:rsid w:val="002E7C17"/>
    <w:rsid w:val="002F1613"/>
    <w:rsid w:val="002F1B11"/>
    <w:rsid w:val="002F2650"/>
    <w:rsid w:val="002F2E31"/>
    <w:rsid w:val="002F3D06"/>
    <w:rsid w:val="002F3D1A"/>
    <w:rsid w:val="00301647"/>
    <w:rsid w:val="00303D3A"/>
    <w:rsid w:val="003050B9"/>
    <w:rsid w:val="00306130"/>
    <w:rsid w:val="00316B17"/>
    <w:rsid w:val="00320397"/>
    <w:rsid w:val="00320A7C"/>
    <w:rsid w:val="003271A9"/>
    <w:rsid w:val="00327E01"/>
    <w:rsid w:val="00327FE4"/>
    <w:rsid w:val="00331F06"/>
    <w:rsid w:val="003322AF"/>
    <w:rsid w:val="00332A8D"/>
    <w:rsid w:val="00334A49"/>
    <w:rsid w:val="003425B5"/>
    <w:rsid w:val="00345F68"/>
    <w:rsid w:val="00346DFF"/>
    <w:rsid w:val="0035047F"/>
    <w:rsid w:val="003513C7"/>
    <w:rsid w:val="00354BA3"/>
    <w:rsid w:val="00354D91"/>
    <w:rsid w:val="00355448"/>
    <w:rsid w:val="00355694"/>
    <w:rsid w:val="003645D8"/>
    <w:rsid w:val="00365F0B"/>
    <w:rsid w:val="003661B1"/>
    <w:rsid w:val="003664AB"/>
    <w:rsid w:val="003672DB"/>
    <w:rsid w:val="00371A53"/>
    <w:rsid w:val="00373799"/>
    <w:rsid w:val="00373D51"/>
    <w:rsid w:val="003741EA"/>
    <w:rsid w:val="00374416"/>
    <w:rsid w:val="0038078C"/>
    <w:rsid w:val="00381DD8"/>
    <w:rsid w:val="003825EC"/>
    <w:rsid w:val="00383A1E"/>
    <w:rsid w:val="003848BF"/>
    <w:rsid w:val="00384B4F"/>
    <w:rsid w:val="00384CD1"/>
    <w:rsid w:val="0038606C"/>
    <w:rsid w:val="00390764"/>
    <w:rsid w:val="0039164E"/>
    <w:rsid w:val="003925BC"/>
    <w:rsid w:val="003A0859"/>
    <w:rsid w:val="003A348C"/>
    <w:rsid w:val="003A487F"/>
    <w:rsid w:val="003A57C1"/>
    <w:rsid w:val="003A7D97"/>
    <w:rsid w:val="003B1260"/>
    <w:rsid w:val="003B12FF"/>
    <w:rsid w:val="003B1771"/>
    <w:rsid w:val="003B747C"/>
    <w:rsid w:val="003C4688"/>
    <w:rsid w:val="003C633A"/>
    <w:rsid w:val="003C66A4"/>
    <w:rsid w:val="003D0355"/>
    <w:rsid w:val="003D2CD1"/>
    <w:rsid w:val="003D37C3"/>
    <w:rsid w:val="003D6571"/>
    <w:rsid w:val="003E056C"/>
    <w:rsid w:val="003E08A7"/>
    <w:rsid w:val="003E0965"/>
    <w:rsid w:val="003E128F"/>
    <w:rsid w:val="003E1845"/>
    <w:rsid w:val="003E5ABF"/>
    <w:rsid w:val="003E7FEF"/>
    <w:rsid w:val="003F004D"/>
    <w:rsid w:val="003F2FFB"/>
    <w:rsid w:val="003F3768"/>
    <w:rsid w:val="004006DB"/>
    <w:rsid w:val="0040219E"/>
    <w:rsid w:val="004022C3"/>
    <w:rsid w:val="00404311"/>
    <w:rsid w:val="00407788"/>
    <w:rsid w:val="004078D3"/>
    <w:rsid w:val="00410055"/>
    <w:rsid w:val="00410F29"/>
    <w:rsid w:val="00414724"/>
    <w:rsid w:val="00415676"/>
    <w:rsid w:val="004161E3"/>
    <w:rsid w:val="00417DD8"/>
    <w:rsid w:val="0042019C"/>
    <w:rsid w:val="00424179"/>
    <w:rsid w:val="00425C8B"/>
    <w:rsid w:val="00427934"/>
    <w:rsid w:val="004302DD"/>
    <w:rsid w:val="0043494C"/>
    <w:rsid w:val="00434C74"/>
    <w:rsid w:val="004351C9"/>
    <w:rsid w:val="00435E75"/>
    <w:rsid w:val="00436F2A"/>
    <w:rsid w:val="00437AD8"/>
    <w:rsid w:val="0044128A"/>
    <w:rsid w:val="00442A81"/>
    <w:rsid w:val="00442D52"/>
    <w:rsid w:val="00442F17"/>
    <w:rsid w:val="00453835"/>
    <w:rsid w:val="00453B1B"/>
    <w:rsid w:val="0045565F"/>
    <w:rsid w:val="00455F30"/>
    <w:rsid w:val="00457E46"/>
    <w:rsid w:val="004600A3"/>
    <w:rsid w:val="0046268B"/>
    <w:rsid w:val="00462B6F"/>
    <w:rsid w:val="004633C3"/>
    <w:rsid w:val="00464D61"/>
    <w:rsid w:val="004655FE"/>
    <w:rsid w:val="0046577C"/>
    <w:rsid w:val="0046593F"/>
    <w:rsid w:val="0046670D"/>
    <w:rsid w:val="0046702E"/>
    <w:rsid w:val="0046791C"/>
    <w:rsid w:val="00471DD3"/>
    <w:rsid w:val="00472C01"/>
    <w:rsid w:val="00475310"/>
    <w:rsid w:val="00477957"/>
    <w:rsid w:val="00477A46"/>
    <w:rsid w:val="004811C0"/>
    <w:rsid w:val="00481405"/>
    <w:rsid w:val="00481674"/>
    <w:rsid w:val="00484809"/>
    <w:rsid w:val="00485D5B"/>
    <w:rsid w:val="00485E70"/>
    <w:rsid w:val="00486BF9"/>
    <w:rsid w:val="00491A5A"/>
    <w:rsid w:val="00491F83"/>
    <w:rsid w:val="0049535E"/>
    <w:rsid w:val="004971C9"/>
    <w:rsid w:val="00497490"/>
    <w:rsid w:val="004974FF"/>
    <w:rsid w:val="004A1BCA"/>
    <w:rsid w:val="004A3389"/>
    <w:rsid w:val="004A356E"/>
    <w:rsid w:val="004A4360"/>
    <w:rsid w:val="004A533D"/>
    <w:rsid w:val="004A6256"/>
    <w:rsid w:val="004B0C77"/>
    <w:rsid w:val="004B16FB"/>
    <w:rsid w:val="004C2CA0"/>
    <w:rsid w:val="004C3D5A"/>
    <w:rsid w:val="004C6314"/>
    <w:rsid w:val="004C74AB"/>
    <w:rsid w:val="004D0361"/>
    <w:rsid w:val="004D14FC"/>
    <w:rsid w:val="004D6E18"/>
    <w:rsid w:val="004E5726"/>
    <w:rsid w:val="004F1719"/>
    <w:rsid w:val="004F2347"/>
    <w:rsid w:val="004F327A"/>
    <w:rsid w:val="004F4626"/>
    <w:rsid w:val="004F4CFB"/>
    <w:rsid w:val="004F5001"/>
    <w:rsid w:val="004F5107"/>
    <w:rsid w:val="004F536B"/>
    <w:rsid w:val="004F6E08"/>
    <w:rsid w:val="004F730D"/>
    <w:rsid w:val="0050076B"/>
    <w:rsid w:val="00503DED"/>
    <w:rsid w:val="0050544C"/>
    <w:rsid w:val="0050613B"/>
    <w:rsid w:val="00507095"/>
    <w:rsid w:val="00510C52"/>
    <w:rsid w:val="00512BA8"/>
    <w:rsid w:val="0051491D"/>
    <w:rsid w:val="005151B5"/>
    <w:rsid w:val="00515C73"/>
    <w:rsid w:val="005268F5"/>
    <w:rsid w:val="0052786D"/>
    <w:rsid w:val="00527B07"/>
    <w:rsid w:val="005323B1"/>
    <w:rsid w:val="00544155"/>
    <w:rsid w:val="0054430A"/>
    <w:rsid w:val="005516ED"/>
    <w:rsid w:val="00553322"/>
    <w:rsid w:val="00553DBF"/>
    <w:rsid w:val="0055401D"/>
    <w:rsid w:val="00556490"/>
    <w:rsid w:val="00556823"/>
    <w:rsid w:val="0056008A"/>
    <w:rsid w:val="0056157B"/>
    <w:rsid w:val="00561698"/>
    <w:rsid w:val="00561963"/>
    <w:rsid w:val="00561BAA"/>
    <w:rsid w:val="00562D6A"/>
    <w:rsid w:val="00572BB3"/>
    <w:rsid w:val="00572D72"/>
    <w:rsid w:val="00574FAC"/>
    <w:rsid w:val="0057556A"/>
    <w:rsid w:val="0057669B"/>
    <w:rsid w:val="005776AA"/>
    <w:rsid w:val="00580B8E"/>
    <w:rsid w:val="00580C1A"/>
    <w:rsid w:val="00581474"/>
    <w:rsid w:val="005823AF"/>
    <w:rsid w:val="005827DD"/>
    <w:rsid w:val="00585887"/>
    <w:rsid w:val="005875DF"/>
    <w:rsid w:val="00592FAC"/>
    <w:rsid w:val="00596043"/>
    <w:rsid w:val="005A040A"/>
    <w:rsid w:val="005A0846"/>
    <w:rsid w:val="005A0CCA"/>
    <w:rsid w:val="005A3880"/>
    <w:rsid w:val="005A4CE1"/>
    <w:rsid w:val="005A4E24"/>
    <w:rsid w:val="005A761A"/>
    <w:rsid w:val="005B25E5"/>
    <w:rsid w:val="005B4F94"/>
    <w:rsid w:val="005B4FE1"/>
    <w:rsid w:val="005B6952"/>
    <w:rsid w:val="005C0805"/>
    <w:rsid w:val="005C35A2"/>
    <w:rsid w:val="005D27E4"/>
    <w:rsid w:val="005D2DB0"/>
    <w:rsid w:val="005D3802"/>
    <w:rsid w:val="005D4151"/>
    <w:rsid w:val="005D4D80"/>
    <w:rsid w:val="005D6242"/>
    <w:rsid w:val="005D64EF"/>
    <w:rsid w:val="005D6E43"/>
    <w:rsid w:val="005D74B0"/>
    <w:rsid w:val="005D7AA0"/>
    <w:rsid w:val="005E0AE5"/>
    <w:rsid w:val="005E5979"/>
    <w:rsid w:val="005E6D67"/>
    <w:rsid w:val="005F1AC3"/>
    <w:rsid w:val="005F2B65"/>
    <w:rsid w:val="005F4AD4"/>
    <w:rsid w:val="005F5575"/>
    <w:rsid w:val="005F5644"/>
    <w:rsid w:val="005F64B5"/>
    <w:rsid w:val="005F6A9D"/>
    <w:rsid w:val="005F767C"/>
    <w:rsid w:val="00600AEF"/>
    <w:rsid w:val="00603F2F"/>
    <w:rsid w:val="00603FDD"/>
    <w:rsid w:val="0060736D"/>
    <w:rsid w:val="00611132"/>
    <w:rsid w:val="00612248"/>
    <w:rsid w:val="00616B65"/>
    <w:rsid w:val="006173D3"/>
    <w:rsid w:val="0062440C"/>
    <w:rsid w:val="0062490F"/>
    <w:rsid w:val="006254C6"/>
    <w:rsid w:val="00626E93"/>
    <w:rsid w:val="006272A0"/>
    <w:rsid w:val="006306CA"/>
    <w:rsid w:val="00630945"/>
    <w:rsid w:val="006311D3"/>
    <w:rsid w:val="006316FD"/>
    <w:rsid w:val="006327F3"/>
    <w:rsid w:val="006349B3"/>
    <w:rsid w:val="0063662B"/>
    <w:rsid w:val="00637E07"/>
    <w:rsid w:val="00640F49"/>
    <w:rsid w:val="006415BE"/>
    <w:rsid w:val="00644993"/>
    <w:rsid w:val="006453AE"/>
    <w:rsid w:val="0064730C"/>
    <w:rsid w:val="0065054B"/>
    <w:rsid w:val="00653143"/>
    <w:rsid w:val="00654F31"/>
    <w:rsid w:val="006550D5"/>
    <w:rsid w:val="0065743E"/>
    <w:rsid w:val="00657AB9"/>
    <w:rsid w:val="00660731"/>
    <w:rsid w:val="00664D13"/>
    <w:rsid w:val="00666B90"/>
    <w:rsid w:val="006673D1"/>
    <w:rsid w:val="006719FC"/>
    <w:rsid w:val="00673428"/>
    <w:rsid w:val="0067552E"/>
    <w:rsid w:val="00675F55"/>
    <w:rsid w:val="00680678"/>
    <w:rsid w:val="00680ECE"/>
    <w:rsid w:val="006826EF"/>
    <w:rsid w:val="00683F5F"/>
    <w:rsid w:val="00684412"/>
    <w:rsid w:val="00686B8F"/>
    <w:rsid w:val="00687415"/>
    <w:rsid w:val="006906AE"/>
    <w:rsid w:val="00690DEA"/>
    <w:rsid w:val="006921E4"/>
    <w:rsid w:val="00696C47"/>
    <w:rsid w:val="00696F13"/>
    <w:rsid w:val="006A020A"/>
    <w:rsid w:val="006A11A2"/>
    <w:rsid w:val="006A20BC"/>
    <w:rsid w:val="006B12DC"/>
    <w:rsid w:val="006B1F4C"/>
    <w:rsid w:val="006B5450"/>
    <w:rsid w:val="006B63AC"/>
    <w:rsid w:val="006B6F95"/>
    <w:rsid w:val="006C1048"/>
    <w:rsid w:val="006C15F4"/>
    <w:rsid w:val="006C350D"/>
    <w:rsid w:val="006C5021"/>
    <w:rsid w:val="006C74E4"/>
    <w:rsid w:val="006D02F3"/>
    <w:rsid w:val="006D157A"/>
    <w:rsid w:val="006D2676"/>
    <w:rsid w:val="006D2F06"/>
    <w:rsid w:val="006D47D6"/>
    <w:rsid w:val="006D7031"/>
    <w:rsid w:val="006E0C60"/>
    <w:rsid w:val="006E196E"/>
    <w:rsid w:val="006E24F7"/>
    <w:rsid w:val="006F1696"/>
    <w:rsid w:val="006F2BA5"/>
    <w:rsid w:val="006F49DF"/>
    <w:rsid w:val="006F61BE"/>
    <w:rsid w:val="006F688B"/>
    <w:rsid w:val="0070399A"/>
    <w:rsid w:val="00707A39"/>
    <w:rsid w:val="0071046B"/>
    <w:rsid w:val="00710863"/>
    <w:rsid w:val="00710C2F"/>
    <w:rsid w:val="00713C0F"/>
    <w:rsid w:val="007162E7"/>
    <w:rsid w:val="0071730F"/>
    <w:rsid w:val="00721C67"/>
    <w:rsid w:val="00722BF9"/>
    <w:rsid w:val="00723B65"/>
    <w:rsid w:val="00724728"/>
    <w:rsid w:val="00724E33"/>
    <w:rsid w:val="007259E9"/>
    <w:rsid w:val="007275F4"/>
    <w:rsid w:val="00731F02"/>
    <w:rsid w:val="00733792"/>
    <w:rsid w:val="00735823"/>
    <w:rsid w:val="00736F88"/>
    <w:rsid w:val="00740809"/>
    <w:rsid w:val="007417D6"/>
    <w:rsid w:val="00742033"/>
    <w:rsid w:val="0074309B"/>
    <w:rsid w:val="00746844"/>
    <w:rsid w:val="00750581"/>
    <w:rsid w:val="007513E6"/>
    <w:rsid w:val="007520DE"/>
    <w:rsid w:val="00753CB9"/>
    <w:rsid w:val="00753D09"/>
    <w:rsid w:val="00753FCD"/>
    <w:rsid w:val="007557AC"/>
    <w:rsid w:val="00756381"/>
    <w:rsid w:val="00757194"/>
    <w:rsid w:val="007604BE"/>
    <w:rsid w:val="007608D8"/>
    <w:rsid w:val="00760A95"/>
    <w:rsid w:val="0076117B"/>
    <w:rsid w:val="007612BD"/>
    <w:rsid w:val="00761440"/>
    <w:rsid w:val="007622B8"/>
    <w:rsid w:val="00763D59"/>
    <w:rsid w:val="007644B8"/>
    <w:rsid w:val="00764F1E"/>
    <w:rsid w:val="00766625"/>
    <w:rsid w:val="00766F24"/>
    <w:rsid w:val="00770FB2"/>
    <w:rsid w:val="00771C1B"/>
    <w:rsid w:val="00772D6D"/>
    <w:rsid w:val="00774330"/>
    <w:rsid w:val="00774A6B"/>
    <w:rsid w:val="00774BC2"/>
    <w:rsid w:val="007757A7"/>
    <w:rsid w:val="0077634D"/>
    <w:rsid w:val="00780C75"/>
    <w:rsid w:val="00782D7F"/>
    <w:rsid w:val="00783185"/>
    <w:rsid w:val="007837A7"/>
    <w:rsid w:val="00786084"/>
    <w:rsid w:val="007877F3"/>
    <w:rsid w:val="007879EB"/>
    <w:rsid w:val="00787AB5"/>
    <w:rsid w:val="007903B2"/>
    <w:rsid w:val="00791D3F"/>
    <w:rsid w:val="007931F0"/>
    <w:rsid w:val="00793C70"/>
    <w:rsid w:val="007A446F"/>
    <w:rsid w:val="007A5A76"/>
    <w:rsid w:val="007A7139"/>
    <w:rsid w:val="007B154E"/>
    <w:rsid w:val="007B307D"/>
    <w:rsid w:val="007B488A"/>
    <w:rsid w:val="007B57CE"/>
    <w:rsid w:val="007C2841"/>
    <w:rsid w:val="007C4235"/>
    <w:rsid w:val="007C5650"/>
    <w:rsid w:val="007C5C9B"/>
    <w:rsid w:val="007C6D4F"/>
    <w:rsid w:val="007C75FB"/>
    <w:rsid w:val="007D2032"/>
    <w:rsid w:val="007D2E1F"/>
    <w:rsid w:val="007D3BFF"/>
    <w:rsid w:val="007D42DE"/>
    <w:rsid w:val="007D64DF"/>
    <w:rsid w:val="007D72E2"/>
    <w:rsid w:val="007D7933"/>
    <w:rsid w:val="007D7AF0"/>
    <w:rsid w:val="007E17A6"/>
    <w:rsid w:val="007E182B"/>
    <w:rsid w:val="007E2835"/>
    <w:rsid w:val="007E3A7D"/>
    <w:rsid w:val="007E4222"/>
    <w:rsid w:val="007E5A59"/>
    <w:rsid w:val="007E633D"/>
    <w:rsid w:val="007E6C69"/>
    <w:rsid w:val="007F1BDA"/>
    <w:rsid w:val="007F3CC1"/>
    <w:rsid w:val="007F4FB8"/>
    <w:rsid w:val="007F5721"/>
    <w:rsid w:val="007F6957"/>
    <w:rsid w:val="007F7871"/>
    <w:rsid w:val="0080522F"/>
    <w:rsid w:val="00806BC7"/>
    <w:rsid w:val="00810752"/>
    <w:rsid w:val="008107B0"/>
    <w:rsid w:val="00810FB2"/>
    <w:rsid w:val="008114AF"/>
    <w:rsid w:val="008126BA"/>
    <w:rsid w:val="00813275"/>
    <w:rsid w:val="00814AAF"/>
    <w:rsid w:val="008151D8"/>
    <w:rsid w:val="0081731E"/>
    <w:rsid w:val="00820491"/>
    <w:rsid w:val="008220EA"/>
    <w:rsid w:val="00822919"/>
    <w:rsid w:val="00823218"/>
    <w:rsid w:val="0082376E"/>
    <w:rsid w:val="008242A6"/>
    <w:rsid w:val="008247A1"/>
    <w:rsid w:val="00825380"/>
    <w:rsid w:val="0082673C"/>
    <w:rsid w:val="0082788E"/>
    <w:rsid w:val="00831A9A"/>
    <w:rsid w:val="00833657"/>
    <w:rsid w:val="0083429A"/>
    <w:rsid w:val="0083487D"/>
    <w:rsid w:val="00842650"/>
    <w:rsid w:val="00842FF9"/>
    <w:rsid w:val="0084657D"/>
    <w:rsid w:val="00851203"/>
    <w:rsid w:val="0085350F"/>
    <w:rsid w:val="00853860"/>
    <w:rsid w:val="008539CC"/>
    <w:rsid w:val="00854766"/>
    <w:rsid w:val="00854D46"/>
    <w:rsid w:val="00855E4D"/>
    <w:rsid w:val="008601CC"/>
    <w:rsid w:val="00861ADE"/>
    <w:rsid w:val="00861F61"/>
    <w:rsid w:val="0086467A"/>
    <w:rsid w:val="00865AE0"/>
    <w:rsid w:val="00865C70"/>
    <w:rsid w:val="00865E77"/>
    <w:rsid w:val="00867061"/>
    <w:rsid w:val="00870D6E"/>
    <w:rsid w:val="00872B1A"/>
    <w:rsid w:val="008750DE"/>
    <w:rsid w:val="00876631"/>
    <w:rsid w:val="00876848"/>
    <w:rsid w:val="008770BB"/>
    <w:rsid w:val="008829BD"/>
    <w:rsid w:val="00885482"/>
    <w:rsid w:val="00891345"/>
    <w:rsid w:val="0089194C"/>
    <w:rsid w:val="00895C25"/>
    <w:rsid w:val="00896ED3"/>
    <w:rsid w:val="008A3EFB"/>
    <w:rsid w:val="008A4A4B"/>
    <w:rsid w:val="008A53B0"/>
    <w:rsid w:val="008A6686"/>
    <w:rsid w:val="008A6CE7"/>
    <w:rsid w:val="008A6F32"/>
    <w:rsid w:val="008B10CD"/>
    <w:rsid w:val="008B1214"/>
    <w:rsid w:val="008B245F"/>
    <w:rsid w:val="008B3D2E"/>
    <w:rsid w:val="008B4552"/>
    <w:rsid w:val="008B4C3C"/>
    <w:rsid w:val="008B5723"/>
    <w:rsid w:val="008B5B6F"/>
    <w:rsid w:val="008B7DAD"/>
    <w:rsid w:val="008C2314"/>
    <w:rsid w:val="008C3C81"/>
    <w:rsid w:val="008C6064"/>
    <w:rsid w:val="008C74A8"/>
    <w:rsid w:val="008C76DD"/>
    <w:rsid w:val="008D1F1D"/>
    <w:rsid w:val="008D563E"/>
    <w:rsid w:val="008D6819"/>
    <w:rsid w:val="008E0EF0"/>
    <w:rsid w:val="008E2074"/>
    <w:rsid w:val="008E253B"/>
    <w:rsid w:val="008E3F43"/>
    <w:rsid w:val="008E46E3"/>
    <w:rsid w:val="008E680B"/>
    <w:rsid w:val="008F0454"/>
    <w:rsid w:val="008F0E7D"/>
    <w:rsid w:val="008F3C3B"/>
    <w:rsid w:val="008F4ADE"/>
    <w:rsid w:val="008F741B"/>
    <w:rsid w:val="00900DC9"/>
    <w:rsid w:val="00902347"/>
    <w:rsid w:val="00902E15"/>
    <w:rsid w:val="00903A9D"/>
    <w:rsid w:val="0090719C"/>
    <w:rsid w:val="009072D5"/>
    <w:rsid w:val="00907857"/>
    <w:rsid w:val="00907ABD"/>
    <w:rsid w:val="009106F7"/>
    <w:rsid w:val="00912722"/>
    <w:rsid w:val="00912A55"/>
    <w:rsid w:val="00912BE4"/>
    <w:rsid w:val="009151E9"/>
    <w:rsid w:val="00916438"/>
    <w:rsid w:val="00923FFB"/>
    <w:rsid w:val="00924444"/>
    <w:rsid w:val="00926548"/>
    <w:rsid w:val="00926E06"/>
    <w:rsid w:val="009322C9"/>
    <w:rsid w:val="0093464D"/>
    <w:rsid w:val="009355C6"/>
    <w:rsid w:val="00937889"/>
    <w:rsid w:val="00940485"/>
    <w:rsid w:val="0094062B"/>
    <w:rsid w:val="00940B1A"/>
    <w:rsid w:val="00942D3D"/>
    <w:rsid w:val="00943E02"/>
    <w:rsid w:val="0094523F"/>
    <w:rsid w:val="009452F5"/>
    <w:rsid w:val="009457B6"/>
    <w:rsid w:val="00945E2D"/>
    <w:rsid w:val="00952824"/>
    <w:rsid w:val="00953424"/>
    <w:rsid w:val="0095356A"/>
    <w:rsid w:val="009551EF"/>
    <w:rsid w:val="00960F43"/>
    <w:rsid w:val="00961C62"/>
    <w:rsid w:val="00961D09"/>
    <w:rsid w:val="00964EF9"/>
    <w:rsid w:val="00966186"/>
    <w:rsid w:val="009666AD"/>
    <w:rsid w:val="009705BB"/>
    <w:rsid w:val="0097383D"/>
    <w:rsid w:val="00973A67"/>
    <w:rsid w:val="0097474D"/>
    <w:rsid w:val="00976A4F"/>
    <w:rsid w:val="00981580"/>
    <w:rsid w:val="00987233"/>
    <w:rsid w:val="00994D43"/>
    <w:rsid w:val="00997EB1"/>
    <w:rsid w:val="00997F88"/>
    <w:rsid w:val="009A417A"/>
    <w:rsid w:val="009A577D"/>
    <w:rsid w:val="009A7241"/>
    <w:rsid w:val="009A77C5"/>
    <w:rsid w:val="009B0021"/>
    <w:rsid w:val="009B0A93"/>
    <w:rsid w:val="009B1901"/>
    <w:rsid w:val="009B298E"/>
    <w:rsid w:val="009B35D4"/>
    <w:rsid w:val="009B50C2"/>
    <w:rsid w:val="009B520C"/>
    <w:rsid w:val="009B597F"/>
    <w:rsid w:val="009B73F2"/>
    <w:rsid w:val="009B7896"/>
    <w:rsid w:val="009B7CC2"/>
    <w:rsid w:val="009C04B2"/>
    <w:rsid w:val="009C1341"/>
    <w:rsid w:val="009C492C"/>
    <w:rsid w:val="009C4F08"/>
    <w:rsid w:val="009C500C"/>
    <w:rsid w:val="009C798B"/>
    <w:rsid w:val="009D1727"/>
    <w:rsid w:val="009D4956"/>
    <w:rsid w:val="009D639C"/>
    <w:rsid w:val="009D6BE6"/>
    <w:rsid w:val="009D6C27"/>
    <w:rsid w:val="009D7982"/>
    <w:rsid w:val="009E1D84"/>
    <w:rsid w:val="009E3895"/>
    <w:rsid w:val="009E6618"/>
    <w:rsid w:val="009F1535"/>
    <w:rsid w:val="009F3C88"/>
    <w:rsid w:val="009F4861"/>
    <w:rsid w:val="009F48C6"/>
    <w:rsid w:val="009F499A"/>
    <w:rsid w:val="009F4EA1"/>
    <w:rsid w:val="009F5CC6"/>
    <w:rsid w:val="009F64AC"/>
    <w:rsid w:val="00A01537"/>
    <w:rsid w:val="00A01D16"/>
    <w:rsid w:val="00A05485"/>
    <w:rsid w:val="00A079E6"/>
    <w:rsid w:val="00A13FB2"/>
    <w:rsid w:val="00A14946"/>
    <w:rsid w:val="00A14C53"/>
    <w:rsid w:val="00A154EC"/>
    <w:rsid w:val="00A156AD"/>
    <w:rsid w:val="00A17B7D"/>
    <w:rsid w:val="00A20469"/>
    <w:rsid w:val="00A20FF6"/>
    <w:rsid w:val="00A24C66"/>
    <w:rsid w:val="00A2623B"/>
    <w:rsid w:val="00A27941"/>
    <w:rsid w:val="00A30177"/>
    <w:rsid w:val="00A30834"/>
    <w:rsid w:val="00A30CFB"/>
    <w:rsid w:val="00A3465D"/>
    <w:rsid w:val="00A359E7"/>
    <w:rsid w:val="00A35DDF"/>
    <w:rsid w:val="00A36830"/>
    <w:rsid w:val="00A36E84"/>
    <w:rsid w:val="00A36FD8"/>
    <w:rsid w:val="00A37805"/>
    <w:rsid w:val="00A37A4A"/>
    <w:rsid w:val="00A37F1E"/>
    <w:rsid w:val="00A441A7"/>
    <w:rsid w:val="00A44542"/>
    <w:rsid w:val="00A46203"/>
    <w:rsid w:val="00A46FAD"/>
    <w:rsid w:val="00A47235"/>
    <w:rsid w:val="00A50BF8"/>
    <w:rsid w:val="00A529D8"/>
    <w:rsid w:val="00A53A0E"/>
    <w:rsid w:val="00A53F90"/>
    <w:rsid w:val="00A54520"/>
    <w:rsid w:val="00A5698E"/>
    <w:rsid w:val="00A57DC6"/>
    <w:rsid w:val="00A60B2D"/>
    <w:rsid w:val="00A60D61"/>
    <w:rsid w:val="00A60DF4"/>
    <w:rsid w:val="00A61E44"/>
    <w:rsid w:val="00A64E06"/>
    <w:rsid w:val="00A70E83"/>
    <w:rsid w:val="00A745A3"/>
    <w:rsid w:val="00A7656B"/>
    <w:rsid w:val="00A76F2F"/>
    <w:rsid w:val="00A77DE3"/>
    <w:rsid w:val="00A81C2F"/>
    <w:rsid w:val="00A8319E"/>
    <w:rsid w:val="00A83367"/>
    <w:rsid w:val="00A83EA4"/>
    <w:rsid w:val="00A84358"/>
    <w:rsid w:val="00A84AC2"/>
    <w:rsid w:val="00A84C02"/>
    <w:rsid w:val="00A84DCD"/>
    <w:rsid w:val="00A85AE6"/>
    <w:rsid w:val="00A87622"/>
    <w:rsid w:val="00A9212D"/>
    <w:rsid w:val="00A9359B"/>
    <w:rsid w:val="00A947EA"/>
    <w:rsid w:val="00A95C68"/>
    <w:rsid w:val="00A960B5"/>
    <w:rsid w:val="00A97A43"/>
    <w:rsid w:val="00AA1AC6"/>
    <w:rsid w:val="00AA3D12"/>
    <w:rsid w:val="00AA4041"/>
    <w:rsid w:val="00AA728B"/>
    <w:rsid w:val="00AA7B22"/>
    <w:rsid w:val="00AB2F50"/>
    <w:rsid w:val="00AB3294"/>
    <w:rsid w:val="00AB37D6"/>
    <w:rsid w:val="00AB3DD6"/>
    <w:rsid w:val="00AB425A"/>
    <w:rsid w:val="00AB46CB"/>
    <w:rsid w:val="00AC116A"/>
    <w:rsid w:val="00AC1446"/>
    <w:rsid w:val="00AC4094"/>
    <w:rsid w:val="00AC4157"/>
    <w:rsid w:val="00AD0277"/>
    <w:rsid w:val="00AD27EF"/>
    <w:rsid w:val="00AD4B37"/>
    <w:rsid w:val="00AD5B88"/>
    <w:rsid w:val="00AD6620"/>
    <w:rsid w:val="00AE0439"/>
    <w:rsid w:val="00AE0727"/>
    <w:rsid w:val="00AE277D"/>
    <w:rsid w:val="00AE6194"/>
    <w:rsid w:val="00AF24EC"/>
    <w:rsid w:val="00AF38D9"/>
    <w:rsid w:val="00B06E65"/>
    <w:rsid w:val="00B07238"/>
    <w:rsid w:val="00B12B40"/>
    <w:rsid w:val="00B14766"/>
    <w:rsid w:val="00B1611D"/>
    <w:rsid w:val="00B16A30"/>
    <w:rsid w:val="00B17D73"/>
    <w:rsid w:val="00B20C6C"/>
    <w:rsid w:val="00B20E03"/>
    <w:rsid w:val="00B21D18"/>
    <w:rsid w:val="00B22BED"/>
    <w:rsid w:val="00B23792"/>
    <w:rsid w:val="00B2477A"/>
    <w:rsid w:val="00B25213"/>
    <w:rsid w:val="00B305DD"/>
    <w:rsid w:val="00B31213"/>
    <w:rsid w:val="00B31D7E"/>
    <w:rsid w:val="00B32236"/>
    <w:rsid w:val="00B3615F"/>
    <w:rsid w:val="00B365DB"/>
    <w:rsid w:val="00B3687E"/>
    <w:rsid w:val="00B41CA0"/>
    <w:rsid w:val="00B42843"/>
    <w:rsid w:val="00B44109"/>
    <w:rsid w:val="00B44499"/>
    <w:rsid w:val="00B449F1"/>
    <w:rsid w:val="00B459AE"/>
    <w:rsid w:val="00B5082D"/>
    <w:rsid w:val="00B50EF4"/>
    <w:rsid w:val="00B513EB"/>
    <w:rsid w:val="00B537FF"/>
    <w:rsid w:val="00B55437"/>
    <w:rsid w:val="00B565D2"/>
    <w:rsid w:val="00B576CF"/>
    <w:rsid w:val="00B64F22"/>
    <w:rsid w:val="00B64FEC"/>
    <w:rsid w:val="00B65F4D"/>
    <w:rsid w:val="00B66B7B"/>
    <w:rsid w:val="00B66C52"/>
    <w:rsid w:val="00B72FDA"/>
    <w:rsid w:val="00B7464B"/>
    <w:rsid w:val="00B75586"/>
    <w:rsid w:val="00B75BA6"/>
    <w:rsid w:val="00B75DDB"/>
    <w:rsid w:val="00B77042"/>
    <w:rsid w:val="00B77A90"/>
    <w:rsid w:val="00B805FB"/>
    <w:rsid w:val="00B80E6B"/>
    <w:rsid w:val="00B85ACE"/>
    <w:rsid w:val="00B87B27"/>
    <w:rsid w:val="00B9277C"/>
    <w:rsid w:val="00B93564"/>
    <w:rsid w:val="00B9388B"/>
    <w:rsid w:val="00B93F7D"/>
    <w:rsid w:val="00B95DA6"/>
    <w:rsid w:val="00BA0168"/>
    <w:rsid w:val="00BA0C5F"/>
    <w:rsid w:val="00BA0FEE"/>
    <w:rsid w:val="00BA1768"/>
    <w:rsid w:val="00BA333B"/>
    <w:rsid w:val="00BA33EA"/>
    <w:rsid w:val="00BA3A1D"/>
    <w:rsid w:val="00BA4236"/>
    <w:rsid w:val="00BA5E94"/>
    <w:rsid w:val="00BA6356"/>
    <w:rsid w:val="00BB0342"/>
    <w:rsid w:val="00BB0C6F"/>
    <w:rsid w:val="00BB1C4F"/>
    <w:rsid w:val="00BB3044"/>
    <w:rsid w:val="00BB4E4E"/>
    <w:rsid w:val="00BB5F4C"/>
    <w:rsid w:val="00BC36ED"/>
    <w:rsid w:val="00BC63E9"/>
    <w:rsid w:val="00BD0051"/>
    <w:rsid w:val="00BD2103"/>
    <w:rsid w:val="00BD2B64"/>
    <w:rsid w:val="00BD4AD1"/>
    <w:rsid w:val="00BD54C9"/>
    <w:rsid w:val="00BD57C4"/>
    <w:rsid w:val="00BE1070"/>
    <w:rsid w:val="00BE364F"/>
    <w:rsid w:val="00BE577F"/>
    <w:rsid w:val="00BE5C56"/>
    <w:rsid w:val="00BE6938"/>
    <w:rsid w:val="00BE6C13"/>
    <w:rsid w:val="00BF0E0C"/>
    <w:rsid w:val="00BF10B8"/>
    <w:rsid w:val="00BF2673"/>
    <w:rsid w:val="00BF4124"/>
    <w:rsid w:val="00C0150A"/>
    <w:rsid w:val="00C02E66"/>
    <w:rsid w:val="00C058BB"/>
    <w:rsid w:val="00C05BA3"/>
    <w:rsid w:val="00C12785"/>
    <w:rsid w:val="00C12A37"/>
    <w:rsid w:val="00C1510C"/>
    <w:rsid w:val="00C15FB0"/>
    <w:rsid w:val="00C165E4"/>
    <w:rsid w:val="00C211B5"/>
    <w:rsid w:val="00C21993"/>
    <w:rsid w:val="00C21A38"/>
    <w:rsid w:val="00C22691"/>
    <w:rsid w:val="00C2287D"/>
    <w:rsid w:val="00C24F64"/>
    <w:rsid w:val="00C253FC"/>
    <w:rsid w:val="00C277A6"/>
    <w:rsid w:val="00C36D1C"/>
    <w:rsid w:val="00C4045F"/>
    <w:rsid w:val="00C40491"/>
    <w:rsid w:val="00C40883"/>
    <w:rsid w:val="00C411AC"/>
    <w:rsid w:val="00C418DD"/>
    <w:rsid w:val="00C42AFB"/>
    <w:rsid w:val="00C45A74"/>
    <w:rsid w:val="00C47C0E"/>
    <w:rsid w:val="00C51BBB"/>
    <w:rsid w:val="00C53608"/>
    <w:rsid w:val="00C53A2D"/>
    <w:rsid w:val="00C605D5"/>
    <w:rsid w:val="00C611CC"/>
    <w:rsid w:val="00C61C62"/>
    <w:rsid w:val="00C61FC4"/>
    <w:rsid w:val="00C62712"/>
    <w:rsid w:val="00C633BF"/>
    <w:rsid w:val="00C63E19"/>
    <w:rsid w:val="00C701AF"/>
    <w:rsid w:val="00C71D63"/>
    <w:rsid w:val="00C722B7"/>
    <w:rsid w:val="00C7407C"/>
    <w:rsid w:val="00C74BC0"/>
    <w:rsid w:val="00C77A7F"/>
    <w:rsid w:val="00C83056"/>
    <w:rsid w:val="00C850D3"/>
    <w:rsid w:val="00C90C8C"/>
    <w:rsid w:val="00CA0DC2"/>
    <w:rsid w:val="00CA1F76"/>
    <w:rsid w:val="00CA2E0F"/>
    <w:rsid w:val="00CA3308"/>
    <w:rsid w:val="00CA4CE7"/>
    <w:rsid w:val="00CA5316"/>
    <w:rsid w:val="00CA6790"/>
    <w:rsid w:val="00CA6C91"/>
    <w:rsid w:val="00CA7937"/>
    <w:rsid w:val="00CB2A74"/>
    <w:rsid w:val="00CB3E5E"/>
    <w:rsid w:val="00CB6DF0"/>
    <w:rsid w:val="00CB73C2"/>
    <w:rsid w:val="00CC097D"/>
    <w:rsid w:val="00CC18F4"/>
    <w:rsid w:val="00CC20B6"/>
    <w:rsid w:val="00CC34CB"/>
    <w:rsid w:val="00CC5364"/>
    <w:rsid w:val="00CC6A05"/>
    <w:rsid w:val="00CC7F40"/>
    <w:rsid w:val="00CD1437"/>
    <w:rsid w:val="00CD235F"/>
    <w:rsid w:val="00CD3690"/>
    <w:rsid w:val="00CD3778"/>
    <w:rsid w:val="00CD4C2F"/>
    <w:rsid w:val="00CD7274"/>
    <w:rsid w:val="00CE08D6"/>
    <w:rsid w:val="00CE1019"/>
    <w:rsid w:val="00CE1EE7"/>
    <w:rsid w:val="00CE2107"/>
    <w:rsid w:val="00CE23A5"/>
    <w:rsid w:val="00CE4B01"/>
    <w:rsid w:val="00CE5BC4"/>
    <w:rsid w:val="00CE6D74"/>
    <w:rsid w:val="00CE6D75"/>
    <w:rsid w:val="00CE7F32"/>
    <w:rsid w:val="00CF007A"/>
    <w:rsid w:val="00CF1516"/>
    <w:rsid w:val="00CF24BB"/>
    <w:rsid w:val="00CF5AEB"/>
    <w:rsid w:val="00CF61AC"/>
    <w:rsid w:val="00CF6634"/>
    <w:rsid w:val="00CF6AA5"/>
    <w:rsid w:val="00CF6BA8"/>
    <w:rsid w:val="00CF6CE1"/>
    <w:rsid w:val="00CF7C46"/>
    <w:rsid w:val="00D00315"/>
    <w:rsid w:val="00D009E0"/>
    <w:rsid w:val="00D00C65"/>
    <w:rsid w:val="00D01103"/>
    <w:rsid w:val="00D01AE3"/>
    <w:rsid w:val="00D01E60"/>
    <w:rsid w:val="00D0274C"/>
    <w:rsid w:val="00D06ADA"/>
    <w:rsid w:val="00D071D6"/>
    <w:rsid w:val="00D1173F"/>
    <w:rsid w:val="00D131C6"/>
    <w:rsid w:val="00D13AF9"/>
    <w:rsid w:val="00D16C63"/>
    <w:rsid w:val="00D205D7"/>
    <w:rsid w:val="00D23E23"/>
    <w:rsid w:val="00D275E2"/>
    <w:rsid w:val="00D3314E"/>
    <w:rsid w:val="00D33322"/>
    <w:rsid w:val="00D33902"/>
    <w:rsid w:val="00D33B89"/>
    <w:rsid w:val="00D37270"/>
    <w:rsid w:val="00D379DD"/>
    <w:rsid w:val="00D37ECF"/>
    <w:rsid w:val="00D42A4F"/>
    <w:rsid w:val="00D44095"/>
    <w:rsid w:val="00D449E0"/>
    <w:rsid w:val="00D44DA6"/>
    <w:rsid w:val="00D51575"/>
    <w:rsid w:val="00D52413"/>
    <w:rsid w:val="00D53DBC"/>
    <w:rsid w:val="00D54702"/>
    <w:rsid w:val="00D55D29"/>
    <w:rsid w:val="00D563C6"/>
    <w:rsid w:val="00D572E1"/>
    <w:rsid w:val="00D5744F"/>
    <w:rsid w:val="00D613E1"/>
    <w:rsid w:val="00D63FCD"/>
    <w:rsid w:val="00D65641"/>
    <w:rsid w:val="00D65DD5"/>
    <w:rsid w:val="00D70664"/>
    <w:rsid w:val="00D71B97"/>
    <w:rsid w:val="00D805BD"/>
    <w:rsid w:val="00D80996"/>
    <w:rsid w:val="00D828CA"/>
    <w:rsid w:val="00D8312D"/>
    <w:rsid w:val="00D8779D"/>
    <w:rsid w:val="00D90C7E"/>
    <w:rsid w:val="00D91244"/>
    <w:rsid w:val="00D9197D"/>
    <w:rsid w:val="00D94157"/>
    <w:rsid w:val="00D94D55"/>
    <w:rsid w:val="00D9541C"/>
    <w:rsid w:val="00DA0578"/>
    <w:rsid w:val="00DA2D66"/>
    <w:rsid w:val="00DA2ED3"/>
    <w:rsid w:val="00DA5680"/>
    <w:rsid w:val="00DA6D8B"/>
    <w:rsid w:val="00DA7948"/>
    <w:rsid w:val="00DB030D"/>
    <w:rsid w:val="00DB1A1A"/>
    <w:rsid w:val="00DC0A29"/>
    <w:rsid w:val="00DC1EBB"/>
    <w:rsid w:val="00DC1EEC"/>
    <w:rsid w:val="00DC2857"/>
    <w:rsid w:val="00DC4BCF"/>
    <w:rsid w:val="00DC557A"/>
    <w:rsid w:val="00DD03DB"/>
    <w:rsid w:val="00DD1226"/>
    <w:rsid w:val="00DD28D3"/>
    <w:rsid w:val="00DD2A74"/>
    <w:rsid w:val="00DD47AA"/>
    <w:rsid w:val="00DD585F"/>
    <w:rsid w:val="00DD5DC0"/>
    <w:rsid w:val="00DD64C6"/>
    <w:rsid w:val="00DD6671"/>
    <w:rsid w:val="00DD6709"/>
    <w:rsid w:val="00DD6C29"/>
    <w:rsid w:val="00DD7F7E"/>
    <w:rsid w:val="00DE0C1D"/>
    <w:rsid w:val="00DE1560"/>
    <w:rsid w:val="00DE15EC"/>
    <w:rsid w:val="00DE21F6"/>
    <w:rsid w:val="00DE31D7"/>
    <w:rsid w:val="00DE76FB"/>
    <w:rsid w:val="00DF1AB2"/>
    <w:rsid w:val="00DF1FFD"/>
    <w:rsid w:val="00DF2E44"/>
    <w:rsid w:val="00DF2EAB"/>
    <w:rsid w:val="00DF340E"/>
    <w:rsid w:val="00DF489F"/>
    <w:rsid w:val="00DF4A2E"/>
    <w:rsid w:val="00DF7D9F"/>
    <w:rsid w:val="00DF7FE4"/>
    <w:rsid w:val="00E0020D"/>
    <w:rsid w:val="00E01F39"/>
    <w:rsid w:val="00E05B68"/>
    <w:rsid w:val="00E07A3F"/>
    <w:rsid w:val="00E1525E"/>
    <w:rsid w:val="00E157C1"/>
    <w:rsid w:val="00E16175"/>
    <w:rsid w:val="00E215CE"/>
    <w:rsid w:val="00E21D40"/>
    <w:rsid w:val="00E22FC4"/>
    <w:rsid w:val="00E262AE"/>
    <w:rsid w:val="00E26556"/>
    <w:rsid w:val="00E2691C"/>
    <w:rsid w:val="00E27BB3"/>
    <w:rsid w:val="00E27C0E"/>
    <w:rsid w:val="00E31071"/>
    <w:rsid w:val="00E31C94"/>
    <w:rsid w:val="00E33242"/>
    <w:rsid w:val="00E40024"/>
    <w:rsid w:val="00E402D1"/>
    <w:rsid w:val="00E41DF9"/>
    <w:rsid w:val="00E4244B"/>
    <w:rsid w:val="00E42B57"/>
    <w:rsid w:val="00E44AF3"/>
    <w:rsid w:val="00E44D7C"/>
    <w:rsid w:val="00E455F8"/>
    <w:rsid w:val="00E50AA4"/>
    <w:rsid w:val="00E53B98"/>
    <w:rsid w:val="00E54016"/>
    <w:rsid w:val="00E548D7"/>
    <w:rsid w:val="00E559D9"/>
    <w:rsid w:val="00E57CCB"/>
    <w:rsid w:val="00E625DC"/>
    <w:rsid w:val="00E674B4"/>
    <w:rsid w:val="00E679B0"/>
    <w:rsid w:val="00E71E15"/>
    <w:rsid w:val="00E732BD"/>
    <w:rsid w:val="00E76118"/>
    <w:rsid w:val="00E80312"/>
    <w:rsid w:val="00E83DE0"/>
    <w:rsid w:val="00E90E1E"/>
    <w:rsid w:val="00E91A92"/>
    <w:rsid w:val="00E97332"/>
    <w:rsid w:val="00E97FD9"/>
    <w:rsid w:val="00EA3700"/>
    <w:rsid w:val="00EA480F"/>
    <w:rsid w:val="00EA5A93"/>
    <w:rsid w:val="00EA63E2"/>
    <w:rsid w:val="00EB616C"/>
    <w:rsid w:val="00EB7529"/>
    <w:rsid w:val="00EC3440"/>
    <w:rsid w:val="00EC40E7"/>
    <w:rsid w:val="00EC449E"/>
    <w:rsid w:val="00EC60C7"/>
    <w:rsid w:val="00EC6FCF"/>
    <w:rsid w:val="00EC7038"/>
    <w:rsid w:val="00EC724F"/>
    <w:rsid w:val="00EC753C"/>
    <w:rsid w:val="00EC761E"/>
    <w:rsid w:val="00EC76E0"/>
    <w:rsid w:val="00ED053D"/>
    <w:rsid w:val="00ED0B0B"/>
    <w:rsid w:val="00ED170F"/>
    <w:rsid w:val="00ED288B"/>
    <w:rsid w:val="00ED5B56"/>
    <w:rsid w:val="00ED6104"/>
    <w:rsid w:val="00EE00B9"/>
    <w:rsid w:val="00EE081F"/>
    <w:rsid w:val="00EE28B4"/>
    <w:rsid w:val="00EE3D76"/>
    <w:rsid w:val="00EE3E6E"/>
    <w:rsid w:val="00EE4645"/>
    <w:rsid w:val="00EE5B5C"/>
    <w:rsid w:val="00EE7466"/>
    <w:rsid w:val="00EE7DD7"/>
    <w:rsid w:val="00EF1124"/>
    <w:rsid w:val="00EF1A2F"/>
    <w:rsid w:val="00EF2BF7"/>
    <w:rsid w:val="00EF344C"/>
    <w:rsid w:val="00EF4A66"/>
    <w:rsid w:val="00EF6771"/>
    <w:rsid w:val="00EF7918"/>
    <w:rsid w:val="00F0061B"/>
    <w:rsid w:val="00F03658"/>
    <w:rsid w:val="00F04085"/>
    <w:rsid w:val="00F10CEC"/>
    <w:rsid w:val="00F12B18"/>
    <w:rsid w:val="00F12C3B"/>
    <w:rsid w:val="00F1395E"/>
    <w:rsid w:val="00F1535B"/>
    <w:rsid w:val="00F16880"/>
    <w:rsid w:val="00F174CF"/>
    <w:rsid w:val="00F17F7E"/>
    <w:rsid w:val="00F21CBF"/>
    <w:rsid w:val="00F22073"/>
    <w:rsid w:val="00F22EF7"/>
    <w:rsid w:val="00F26290"/>
    <w:rsid w:val="00F262B4"/>
    <w:rsid w:val="00F262E3"/>
    <w:rsid w:val="00F26C83"/>
    <w:rsid w:val="00F30540"/>
    <w:rsid w:val="00F3192B"/>
    <w:rsid w:val="00F34BC0"/>
    <w:rsid w:val="00F42324"/>
    <w:rsid w:val="00F43AAD"/>
    <w:rsid w:val="00F44765"/>
    <w:rsid w:val="00F45326"/>
    <w:rsid w:val="00F47136"/>
    <w:rsid w:val="00F563A1"/>
    <w:rsid w:val="00F56539"/>
    <w:rsid w:val="00F610C5"/>
    <w:rsid w:val="00F62293"/>
    <w:rsid w:val="00F630C5"/>
    <w:rsid w:val="00F67570"/>
    <w:rsid w:val="00F677C8"/>
    <w:rsid w:val="00F67B35"/>
    <w:rsid w:val="00F73410"/>
    <w:rsid w:val="00F74D9E"/>
    <w:rsid w:val="00F754CC"/>
    <w:rsid w:val="00F75B93"/>
    <w:rsid w:val="00F81E45"/>
    <w:rsid w:val="00F8257E"/>
    <w:rsid w:val="00F8325D"/>
    <w:rsid w:val="00F83334"/>
    <w:rsid w:val="00F83C2A"/>
    <w:rsid w:val="00F8408B"/>
    <w:rsid w:val="00F84570"/>
    <w:rsid w:val="00F85409"/>
    <w:rsid w:val="00F8601F"/>
    <w:rsid w:val="00F87065"/>
    <w:rsid w:val="00F87E46"/>
    <w:rsid w:val="00F91764"/>
    <w:rsid w:val="00F94F3B"/>
    <w:rsid w:val="00F962B2"/>
    <w:rsid w:val="00F972F1"/>
    <w:rsid w:val="00FA03F2"/>
    <w:rsid w:val="00FB198B"/>
    <w:rsid w:val="00FB1DFB"/>
    <w:rsid w:val="00FB253F"/>
    <w:rsid w:val="00FB31B5"/>
    <w:rsid w:val="00FB336D"/>
    <w:rsid w:val="00FB379A"/>
    <w:rsid w:val="00FB3F30"/>
    <w:rsid w:val="00FB48F6"/>
    <w:rsid w:val="00FB73C5"/>
    <w:rsid w:val="00FC0FD9"/>
    <w:rsid w:val="00FC123C"/>
    <w:rsid w:val="00FC757C"/>
    <w:rsid w:val="00FC7759"/>
    <w:rsid w:val="00FD0B3C"/>
    <w:rsid w:val="00FD1F0B"/>
    <w:rsid w:val="00FD2591"/>
    <w:rsid w:val="00FD2F6B"/>
    <w:rsid w:val="00FD5979"/>
    <w:rsid w:val="00FD65F9"/>
    <w:rsid w:val="00FD7E64"/>
    <w:rsid w:val="00FE0B6F"/>
    <w:rsid w:val="00FE4544"/>
    <w:rsid w:val="00FE4A95"/>
    <w:rsid w:val="00FE51BF"/>
    <w:rsid w:val="00FE5A95"/>
    <w:rsid w:val="00FE5DCE"/>
    <w:rsid w:val="00FE74E9"/>
    <w:rsid w:val="00FF1B41"/>
    <w:rsid w:val="00FF1F5F"/>
    <w:rsid w:val="00FF2479"/>
    <w:rsid w:val="00FF3872"/>
    <w:rsid w:val="00FF697F"/>
    <w:rsid w:val="00FF73A5"/>
    <w:rsid w:val="00FF7DBE"/>
    <w:rsid w:val="00FF7FAA"/>
    <w:rsid w:val="0ED524D2"/>
    <w:rsid w:val="21AC60B9"/>
    <w:rsid w:val="22C54E90"/>
    <w:rsid w:val="285944AE"/>
    <w:rsid w:val="667C5C51"/>
    <w:rsid w:val="688D6584"/>
    <w:rsid w:val="6A1F352D"/>
    <w:rsid w:val="6E2558B0"/>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rules v:ext="edit">
        <o:r id="V:Rule1" type="connector" idref="#_x0000_s2059"/>
        <o:r id="V:Rule2" type="connector" idref="#_x0000_s2060"/>
        <o:r id="V:Rule3" type="connector" idref="#_x0000_s2062"/>
        <o:r id="V:Rule4" type="connector" idref="#_x0000_s2063"/>
        <o:r id="V:Rule5" type="connector" idref="#_x0000_s2064"/>
        <o:r id="V:Rule6" type="connector" idref="#_x0000_s2065"/>
        <o:r id="V:Rule7" type="connector" idref="#_x0000_s2066"/>
        <o:r id="V:Rule8" type="connector" idref="#_x0000_s2067"/>
        <o:r id="V:Rule9" type="connector" idref="#_x0000_s2073"/>
        <o:r id="V:Rule10" type="connector" idref="#_x0000_s2080"/>
        <o:r id="V:Rule11" type="connector" idref="#_x0000_s2083"/>
        <o:r id="V:Rule12" type="connector" idref="#_x0000_s2088"/>
        <o:r id="V:Rule13" type="connector" idref="#_x0000_s2089"/>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59" w:semiHidden="0" w:name="Table Grid"/>
    <w:lsdException w:uiPriority="99" w:name="Table Theme"/>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4"/>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9">
    <w:name w:val="Light Shading"/>
    <w:basedOn w:val="7"/>
    <w:qFormat/>
    <w:uiPriority w:val="60"/>
    <w:rPr>
      <w:color w:val="000000" w:themeColor="text1" w:themeShade="BF"/>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character" w:customStyle="1" w:styleId="10">
    <w:name w:val="页眉 Char"/>
    <w:basedOn w:val="6"/>
    <w:link w:val="5"/>
    <w:semiHidden/>
    <w:qFormat/>
    <w:uiPriority w:val="99"/>
    <w:rPr>
      <w:sz w:val="18"/>
      <w:szCs w:val="18"/>
    </w:rPr>
  </w:style>
  <w:style w:type="character" w:customStyle="1" w:styleId="11">
    <w:name w:val="页脚 Char"/>
    <w:basedOn w:val="6"/>
    <w:link w:val="4"/>
    <w:semiHidden/>
    <w:uiPriority w:val="99"/>
    <w:rPr>
      <w:sz w:val="18"/>
      <w:szCs w:val="18"/>
    </w:rPr>
  </w:style>
  <w:style w:type="character" w:customStyle="1" w:styleId="12">
    <w:name w:val="标题 2 Char"/>
    <w:basedOn w:val="6"/>
    <w:link w:val="2"/>
    <w:qFormat/>
    <w:uiPriority w:val="9"/>
    <w:rPr>
      <w:rFonts w:asciiTheme="majorHAnsi" w:hAnsiTheme="majorHAnsi" w:eastAsiaTheme="majorEastAsia" w:cstheme="majorBidi"/>
      <w:b/>
      <w:bCs/>
      <w:sz w:val="32"/>
      <w:szCs w:val="32"/>
    </w:rPr>
  </w:style>
  <w:style w:type="paragraph" w:customStyle="1" w:styleId="13">
    <w:name w:val="List Paragraph"/>
    <w:basedOn w:val="1"/>
    <w:qFormat/>
    <w:uiPriority w:val="34"/>
    <w:pPr>
      <w:ind w:firstLine="420" w:firstLineChars="200"/>
    </w:pPr>
  </w:style>
  <w:style w:type="character" w:customStyle="1" w:styleId="14">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GIF"/><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Info spid="_x0000_s2060"/>
    <customShpInfo spid="_x0000_s2059"/>
    <customShpInfo spid="_x0000_s2052"/>
    <customShpInfo spid="_x0000_s2063"/>
    <customShpInfo spid="_x0000_s2057"/>
    <customShpInfo spid="_x0000_s2053"/>
    <customShpInfo spid="_x0000_s2066"/>
    <customShpInfo spid="_x0000_s2062"/>
    <customShpInfo spid="_x0000_s2058"/>
    <customShpInfo spid="_x0000_s2054"/>
    <customShpInfo spid="_x0000_s2067"/>
    <customShpInfo spid="_x0000_s2064"/>
    <customShpInfo spid="_x0000_s2055"/>
    <customShpInfo spid="_x0000_s2065"/>
    <customShpInfo spid="_x0000_s2056"/>
    <customShpInfo spid="_x0000_s2089"/>
    <customShpInfo spid="_x0000_s2088"/>
    <customShpInfo spid="_x0000_s2087"/>
    <customShpInfo spid="_x0000_s2077"/>
    <customShpInfo spid="_x0000_s2086"/>
    <customShpInfo spid="_x0000_s2085"/>
    <customShpInfo spid="_x0000_s2084"/>
    <customShpInfo spid="_x0000_s2083"/>
    <customShpInfo spid="_x0000_s2082"/>
    <customShpInfo spid="_x0000_s2081"/>
    <customShpInfo spid="_x0000_s2080"/>
    <customShpInfo spid="_x0000_s2079"/>
    <customShpInfo spid="_x0000_s2078"/>
    <customShpInfo spid="_x0000_s2076"/>
    <customShpInfo spid="_x0000_s2075"/>
    <customShpInfo spid="_x0000_s2074"/>
    <customShpInfo spid="_x0000_s2073"/>
    <customShpInfo spid="_x0000_s2072"/>
    <customShpInfo spid="_x0000_s2071"/>
    <customShpInfo spid="_x0000_s2070"/>
    <customShpInfo spid="_x0000_s2069"/>
    <customShpInfo spid="_x0000_s2094"/>
    <customShpInfo spid="_x0000_s2093"/>
    <customShpInfo spid="_x0000_s2092"/>
    <customShpInfo spid="_x0000_s209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EF3664-0108-4915-B438-B58B68FF589E}">
  <ds:schemaRefs/>
</ds:datastoreItem>
</file>

<file path=docProps/app.xml><?xml version="1.0" encoding="utf-8"?>
<Properties xmlns="http://schemas.openxmlformats.org/officeDocument/2006/extended-properties" xmlns:vt="http://schemas.openxmlformats.org/officeDocument/2006/docPropsVTypes">
  <Template>Normal</Template>
  <Pages>1</Pages>
  <Words>1494</Words>
  <Characters>8516</Characters>
  <Lines>70</Lines>
  <Paragraphs>19</Paragraphs>
  <ScaleCrop>false</ScaleCrop>
  <LinksUpToDate>false</LinksUpToDate>
  <CharactersWithSpaces>9991</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2021-09-07T02:42:00Z</dcterms:created>
  <dc:creator>叶莺</dc:creator>
  <cp:lastModifiedBy>lenovo</cp:lastModifiedBy>
  <dcterms:modified xsi:type="dcterms:W3CDTF">2021-09-07T08:31:43Z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